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5DB" w:rsidRPr="00A94E44" w:rsidRDefault="000E25DB" w:rsidP="000E25DB">
      <w:pPr>
        <w:spacing w:after="0"/>
        <w:jc w:val="center"/>
        <w:rPr>
          <w:vanish/>
          <w:sz w:val="16"/>
          <w:szCs w:val="16"/>
        </w:rPr>
      </w:pPr>
      <w:r w:rsidRPr="00A94E44">
        <w:rPr>
          <w:rFonts w:eastAsia="Calibri"/>
          <w:sz w:val="16"/>
          <w:szCs w:val="16"/>
          <w:lang w:eastAsia="ar-SA"/>
        </w:rPr>
        <w:t>RESTRUKTURYZACJA LUB REORIENTACJA DZIAŁALNOŚCI GOSP</w:t>
      </w:r>
      <w:bookmarkStart w:id="0" w:name="_GoBack"/>
      <w:bookmarkEnd w:id="0"/>
      <w:r w:rsidRPr="00A94E44">
        <w:rPr>
          <w:rFonts w:eastAsia="Calibri"/>
          <w:sz w:val="16"/>
          <w:szCs w:val="16"/>
          <w:lang w:eastAsia="ar-SA"/>
        </w:rPr>
        <w:t xml:space="preserve">ODARCZEJ, LUB DYWERSYFIKACJA ZATRUDNIENIA OSÓB MAJĄCYCH PRACĘ ZWIĄZANĄ Z SEKTOREM RYBACTWA, W DRODZE TWORZENIA DODATKOWYCH MIEJSC PRACY POZA TYM </w:t>
      </w:r>
      <w:proofErr w:type="spellStart"/>
      <w:r w:rsidRPr="00A94E44">
        <w:rPr>
          <w:rFonts w:eastAsia="Calibri"/>
          <w:sz w:val="16"/>
          <w:szCs w:val="16"/>
          <w:lang w:eastAsia="ar-SA"/>
        </w:rPr>
        <w:t>SEKTOREM</w:t>
      </w:r>
    </w:p>
    <w:tbl>
      <w:tblPr>
        <w:tblpPr w:leftFromText="141" w:rightFromText="141" w:vertAnchor="text" w:horzAnchor="margin" w:tblpXSpec="center" w:tblpY="147"/>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640"/>
        <w:gridCol w:w="635"/>
        <w:gridCol w:w="2977"/>
      </w:tblGrid>
      <w:tr w:rsidR="000E25DB" w:rsidRPr="00A94E44" w:rsidTr="00AE7EB1">
        <w:tc>
          <w:tcPr>
            <w:tcW w:w="534" w:type="dxa"/>
            <w:shd w:val="clear" w:color="auto" w:fill="auto"/>
            <w:vAlign w:val="center"/>
          </w:tcPr>
          <w:p w:rsidR="000E25DB" w:rsidRPr="00A94E44" w:rsidRDefault="000E25DB" w:rsidP="00AE7EB1">
            <w:pPr>
              <w:suppressAutoHyphens/>
              <w:spacing w:after="0" w:line="240" w:lineRule="auto"/>
              <w:jc w:val="center"/>
              <w:rPr>
                <w:rFonts w:eastAsia="Calibri"/>
                <w:sz w:val="16"/>
                <w:szCs w:val="16"/>
                <w:lang w:eastAsia="ar-SA"/>
              </w:rPr>
            </w:pPr>
            <w:r w:rsidRPr="00A94E44">
              <w:rPr>
                <w:rFonts w:eastAsia="Calibri"/>
                <w:sz w:val="16"/>
                <w:szCs w:val="16"/>
                <w:lang w:eastAsia="ar-SA"/>
              </w:rPr>
              <w:t>L.p</w:t>
            </w:r>
            <w:proofErr w:type="spellEnd"/>
            <w:r w:rsidRPr="00A94E44">
              <w:rPr>
                <w:rFonts w:eastAsia="Calibri"/>
                <w:sz w:val="16"/>
                <w:szCs w:val="16"/>
                <w:lang w:eastAsia="ar-SA"/>
              </w:rPr>
              <w:t>.</w:t>
            </w:r>
          </w:p>
        </w:tc>
        <w:tc>
          <w:tcPr>
            <w:tcW w:w="3969" w:type="dxa"/>
            <w:shd w:val="clear" w:color="auto" w:fill="auto"/>
            <w:vAlign w:val="center"/>
          </w:tcPr>
          <w:p w:rsidR="000E25DB" w:rsidRPr="00A94E44" w:rsidRDefault="000E25DB" w:rsidP="00AE7EB1">
            <w:pPr>
              <w:suppressAutoHyphens/>
              <w:spacing w:after="0" w:line="240" w:lineRule="auto"/>
              <w:ind w:firstLine="425"/>
              <w:jc w:val="center"/>
              <w:rPr>
                <w:rFonts w:eastAsia="Calibri"/>
                <w:sz w:val="16"/>
                <w:szCs w:val="16"/>
                <w:lang w:eastAsia="ar-SA"/>
              </w:rPr>
            </w:pPr>
            <w:r w:rsidRPr="00A94E44">
              <w:rPr>
                <w:rFonts w:eastAsia="Calibri"/>
                <w:sz w:val="16"/>
                <w:szCs w:val="16"/>
                <w:lang w:eastAsia="ar-SA"/>
              </w:rPr>
              <w:t>Nazwa kryterium</w:t>
            </w:r>
          </w:p>
        </w:tc>
        <w:tc>
          <w:tcPr>
            <w:tcW w:w="640" w:type="dxa"/>
            <w:shd w:val="clear" w:color="auto" w:fill="auto"/>
            <w:vAlign w:val="center"/>
          </w:tcPr>
          <w:p w:rsidR="000E25DB" w:rsidRPr="00A94E44" w:rsidRDefault="000E25DB" w:rsidP="00AE7EB1">
            <w:pPr>
              <w:suppressAutoHyphens/>
              <w:spacing w:after="0" w:line="240" w:lineRule="auto"/>
              <w:jc w:val="center"/>
              <w:rPr>
                <w:rFonts w:eastAsia="Calibri"/>
                <w:sz w:val="16"/>
                <w:szCs w:val="16"/>
                <w:lang w:eastAsia="ar-SA"/>
              </w:rPr>
            </w:pPr>
            <w:r w:rsidRPr="00A94E44">
              <w:rPr>
                <w:rFonts w:eastAsia="Calibri"/>
                <w:sz w:val="16"/>
                <w:szCs w:val="16"/>
                <w:lang w:eastAsia="ar-SA"/>
              </w:rPr>
              <w:t>Waga</w:t>
            </w:r>
          </w:p>
        </w:tc>
        <w:tc>
          <w:tcPr>
            <w:tcW w:w="635" w:type="dxa"/>
            <w:shd w:val="clear" w:color="auto" w:fill="auto"/>
            <w:vAlign w:val="center"/>
          </w:tcPr>
          <w:p w:rsidR="000E25DB" w:rsidRPr="00A94E44" w:rsidRDefault="000E25DB" w:rsidP="00AE7EB1">
            <w:pPr>
              <w:suppressAutoHyphens/>
              <w:spacing w:after="0" w:line="240" w:lineRule="auto"/>
              <w:jc w:val="center"/>
              <w:rPr>
                <w:rFonts w:eastAsia="Calibri"/>
                <w:sz w:val="16"/>
                <w:szCs w:val="16"/>
                <w:lang w:eastAsia="ar-SA"/>
              </w:rPr>
            </w:pPr>
            <w:r w:rsidRPr="00A94E44">
              <w:rPr>
                <w:rFonts w:eastAsia="Calibri"/>
                <w:sz w:val="16"/>
                <w:szCs w:val="16"/>
                <w:lang w:eastAsia="ar-SA"/>
              </w:rPr>
              <w:t>Pkt</w:t>
            </w:r>
          </w:p>
        </w:tc>
        <w:tc>
          <w:tcPr>
            <w:tcW w:w="2977" w:type="dxa"/>
            <w:shd w:val="clear" w:color="auto" w:fill="auto"/>
            <w:vAlign w:val="center"/>
          </w:tcPr>
          <w:p w:rsidR="000E25DB" w:rsidRPr="00A94E44" w:rsidRDefault="000E25DB" w:rsidP="00AE7EB1">
            <w:pPr>
              <w:suppressAutoHyphens/>
              <w:spacing w:after="0" w:line="240" w:lineRule="auto"/>
              <w:jc w:val="center"/>
              <w:rPr>
                <w:rFonts w:eastAsia="Calibri"/>
                <w:sz w:val="16"/>
                <w:szCs w:val="16"/>
                <w:lang w:eastAsia="ar-SA"/>
              </w:rPr>
            </w:pPr>
            <w:r w:rsidRPr="00A94E44">
              <w:rPr>
                <w:rFonts w:eastAsia="Calibri"/>
                <w:sz w:val="16"/>
                <w:szCs w:val="16"/>
                <w:lang w:eastAsia="ar-SA"/>
              </w:rPr>
              <w:t>Uwagi</w:t>
            </w:r>
          </w:p>
        </w:tc>
      </w:tr>
      <w:tr w:rsidR="000E25DB" w:rsidRPr="00A94E44" w:rsidTr="00AE7EB1">
        <w:trPr>
          <w:trHeight w:val="874"/>
        </w:trPr>
        <w:tc>
          <w:tcPr>
            <w:tcW w:w="534" w:type="dxa"/>
            <w:shd w:val="clear" w:color="auto" w:fill="auto"/>
            <w:vAlign w:val="center"/>
          </w:tcPr>
          <w:p w:rsidR="000E25DB" w:rsidRPr="00A94E44" w:rsidRDefault="000E25DB" w:rsidP="00AE7EB1">
            <w:pPr>
              <w:suppressAutoHyphens/>
              <w:spacing w:after="0" w:line="240" w:lineRule="auto"/>
              <w:jc w:val="center"/>
              <w:rPr>
                <w:rFonts w:eastAsia="Calibri"/>
                <w:sz w:val="18"/>
                <w:szCs w:val="18"/>
                <w:lang w:eastAsia="ar-SA"/>
              </w:rPr>
            </w:pPr>
            <w:r w:rsidRPr="00A94E44">
              <w:rPr>
                <w:rFonts w:eastAsia="Calibri"/>
                <w:sz w:val="18"/>
                <w:szCs w:val="18"/>
                <w:lang w:eastAsia="ar-SA"/>
              </w:rPr>
              <w:t>1</w:t>
            </w:r>
          </w:p>
        </w:tc>
        <w:tc>
          <w:tcPr>
            <w:tcW w:w="3969"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Czy formularz wniosku został złożony na odpowiednim druku i został wypełniony zgodnie z instrukcją?</w:t>
            </w:r>
          </w:p>
        </w:tc>
        <w:tc>
          <w:tcPr>
            <w:tcW w:w="640"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2</w:t>
            </w:r>
          </w:p>
        </w:tc>
        <w:tc>
          <w:tcPr>
            <w:tcW w:w="635"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0-1</w:t>
            </w:r>
          </w:p>
        </w:tc>
        <w:tc>
          <w:tcPr>
            <w:tcW w:w="2977"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1 pkt. – tak</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0 pkt. – nie</w:t>
            </w:r>
          </w:p>
          <w:p w:rsidR="000E25DB" w:rsidRPr="00A94E44" w:rsidRDefault="000E25DB" w:rsidP="00AE7EB1">
            <w:pPr>
              <w:suppressAutoHyphens/>
              <w:spacing w:after="0" w:line="240" w:lineRule="auto"/>
              <w:rPr>
                <w:rFonts w:eastAsia="Calibri" w:cs="Calibri"/>
                <w:sz w:val="18"/>
                <w:szCs w:val="18"/>
                <w:lang w:eastAsia="ar-SA"/>
              </w:rPr>
            </w:pPr>
          </w:p>
        </w:tc>
      </w:tr>
      <w:tr w:rsidR="000E25DB" w:rsidRPr="00A94E44" w:rsidTr="00AE7EB1">
        <w:trPr>
          <w:trHeight w:val="874"/>
        </w:trPr>
        <w:tc>
          <w:tcPr>
            <w:tcW w:w="534" w:type="dxa"/>
            <w:shd w:val="clear" w:color="auto" w:fill="auto"/>
            <w:vAlign w:val="center"/>
          </w:tcPr>
          <w:p w:rsidR="000E25DB" w:rsidRPr="00A94E44" w:rsidRDefault="000E25DB" w:rsidP="00AE7EB1">
            <w:pPr>
              <w:suppressAutoHyphens/>
              <w:spacing w:after="0" w:line="240" w:lineRule="auto"/>
              <w:jc w:val="center"/>
              <w:rPr>
                <w:rFonts w:eastAsia="Calibri"/>
                <w:sz w:val="18"/>
                <w:szCs w:val="18"/>
                <w:lang w:eastAsia="ar-SA"/>
              </w:rPr>
            </w:pPr>
            <w:r w:rsidRPr="00A94E44">
              <w:rPr>
                <w:rFonts w:eastAsia="Calibri"/>
                <w:sz w:val="18"/>
                <w:szCs w:val="18"/>
                <w:lang w:eastAsia="ar-SA"/>
              </w:rPr>
              <w:t>2</w:t>
            </w:r>
          </w:p>
        </w:tc>
        <w:tc>
          <w:tcPr>
            <w:tcW w:w="3969"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Czy wnioskodawca wraz z wnioskiem złożył wszystkie wymagane dokumenty?</w:t>
            </w:r>
          </w:p>
        </w:tc>
        <w:tc>
          <w:tcPr>
            <w:tcW w:w="640"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2</w:t>
            </w:r>
          </w:p>
        </w:tc>
        <w:tc>
          <w:tcPr>
            <w:tcW w:w="635"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0-1</w:t>
            </w:r>
          </w:p>
        </w:tc>
        <w:tc>
          <w:tcPr>
            <w:tcW w:w="2977"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1 pkt. – tak</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0 pkt. – nie</w:t>
            </w:r>
          </w:p>
          <w:p w:rsidR="000E25DB" w:rsidRPr="00A94E44" w:rsidRDefault="000E25DB" w:rsidP="00AE7EB1">
            <w:pPr>
              <w:suppressAutoHyphens/>
              <w:spacing w:after="0" w:line="240" w:lineRule="auto"/>
              <w:rPr>
                <w:rFonts w:eastAsia="Calibri" w:cs="Calibri"/>
                <w:sz w:val="18"/>
                <w:szCs w:val="18"/>
                <w:lang w:eastAsia="ar-SA"/>
              </w:rPr>
            </w:pPr>
          </w:p>
        </w:tc>
      </w:tr>
      <w:tr w:rsidR="000E25DB" w:rsidRPr="00A94E44" w:rsidTr="00AE7EB1">
        <w:trPr>
          <w:trHeight w:val="874"/>
        </w:trPr>
        <w:tc>
          <w:tcPr>
            <w:tcW w:w="534" w:type="dxa"/>
            <w:shd w:val="clear" w:color="auto" w:fill="auto"/>
            <w:vAlign w:val="center"/>
          </w:tcPr>
          <w:p w:rsidR="000E25DB" w:rsidRPr="00A94E44" w:rsidRDefault="000E25DB" w:rsidP="00AE7EB1">
            <w:pPr>
              <w:suppressAutoHyphens/>
              <w:spacing w:after="0" w:line="240" w:lineRule="auto"/>
              <w:jc w:val="center"/>
              <w:rPr>
                <w:rFonts w:eastAsia="Calibri"/>
                <w:sz w:val="18"/>
                <w:szCs w:val="18"/>
                <w:lang w:eastAsia="ar-SA"/>
              </w:rPr>
            </w:pPr>
            <w:r w:rsidRPr="00A94E44">
              <w:rPr>
                <w:rFonts w:eastAsia="Calibri"/>
                <w:sz w:val="18"/>
                <w:szCs w:val="18"/>
                <w:lang w:eastAsia="ar-SA"/>
              </w:rPr>
              <w:t>3</w:t>
            </w:r>
          </w:p>
        </w:tc>
        <w:tc>
          <w:tcPr>
            <w:tcW w:w="3969"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Czy wnioskowana kwota pomocy nie przekracza maksymalnej kwoty dopuszczalnej dla jednej operacji?</w:t>
            </w:r>
          </w:p>
        </w:tc>
        <w:tc>
          <w:tcPr>
            <w:tcW w:w="640"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3</w:t>
            </w:r>
          </w:p>
        </w:tc>
        <w:tc>
          <w:tcPr>
            <w:tcW w:w="635"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0-1</w:t>
            </w:r>
          </w:p>
        </w:tc>
        <w:tc>
          <w:tcPr>
            <w:tcW w:w="2977"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1 pkt. – tak</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0 pkt. – nie</w:t>
            </w:r>
          </w:p>
          <w:p w:rsidR="000E25DB" w:rsidRPr="00A94E44" w:rsidRDefault="000E25DB" w:rsidP="00AE7EB1">
            <w:pPr>
              <w:suppressAutoHyphens/>
              <w:spacing w:after="0" w:line="240" w:lineRule="auto"/>
              <w:rPr>
                <w:rFonts w:eastAsia="Calibri" w:cs="Calibri"/>
                <w:sz w:val="18"/>
                <w:szCs w:val="18"/>
                <w:lang w:eastAsia="ar-SA"/>
              </w:rPr>
            </w:pPr>
          </w:p>
        </w:tc>
      </w:tr>
      <w:tr w:rsidR="000E25DB" w:rsidRPr="00A94E44" w:rsidTr="00AE7EB1">
        <w:trPr>
          <w:trHeight w:val="874"/>
        </w:trPr>
        <w:tc>
          <w:tcPr>
            <w:tcW w:w="534" w:type="dxa"/>
            <w:shd w:val="clear" w:color="auto" w:fill="auto"/>
            <w:vAlign w:val="center"/>
          </w:tcPr>
          <w:p w:rsidR="000E25DB" w:rsidRPr="00A94E44" w:rsidRDefault="000E25DB" w:rsidP="00AE7EB1">
            <w:pPr>
              <w:suppressAutoHyphens/>
              <w:spacing w:after="0" w:line="240" w:lineRule="auto"/>
              <w:jc w:val="center"/>
              <w:rPr>
                <w:rFonts w:eastAsia="Calibri"/>
                <w:sz w:val="18"/>
                <w:szCs w:val="18"/>
                <w:lang w:eastAsia="ar-SA"/>
              </w:rPr>
            </w:pPr>
            <w:r w:rsidRPr="00A94E44">
              <w:rPr>
                <w:rFonts w:eastAsia="Calibri"/>
                <w:sz w:val="18"/>
                <w:szCs w:val="18"/>
                <w:lang w:eastAsia="ar-SA"/>
              </w:rPr>
              <w:t>4</w:t>
            </w:r>
          </w:p>
        </w:tc>
        <w:tc>
          <w:tcPr>
            <w:tcW w:w="3969"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Czy zgodnie z wiedzą oceniającego suma kwoty zakontraktowanej wcześniej i wnioskowanej przez beneficjenta nie przekracza maksymalnej kwoty dopuszczalnej dla jednego wnioskodawcy</w:t>
            </w:r>
          </w:p>
        </w:tc>
        <w:tc>
          <w:tcPr>
            <w:tcW w:w="640"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3</w:t>
            </w:r>
          </w:p>
        </w:tc>
        <w:tc>
          <w:tcPr>
            <w:tcW w:w="635"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0-1</w:t>
            </w:r>
          </w:p>
        </w:tc>
        <w:tc>
          <w:tcPr>
            <w:tcW w:w="2977"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1 pkt. – tak</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0 pkt. – nie</w:t>
            </w:r>
          </w:p>
          <w:p w:rsidR="000E25DB" w:rsidRPr="00A94E44" w:rsidRDefault="000E25DB" w:rsidP="00AE7EB1">
            <w:pPr>
              <w:suppressAutoHyphens/>
              <w:spacing w:after="0" w:line="240" w:lineRule="auto"/>
              <w:rPr>
                <w:rFonts w:eastAsia="Calibri" w:cs="Calibri"/>
                <w:sz w:val="18"/>
                <w:szCs w:val="18"/>
                <w:lang w:eastAsia="ar-SA"/>
              </w:rPr>
            </w:pPr>
          </w:p>
        </w:tc>
      </w:tr>
      <w:tr w:rsidR="000E25DB" w:rsidRPr="00A94E44" w:rsidTr="00AE7EB1">
        <w:trPr>
          <w:trHeight w:val="874"/>
        </w:trPr>
        <w:tc>
          <w:tcPr>
            <w:tcW w:w="534" w:type="dxa"/>
            <w:shd w:val="clear" w:color="auto" w:fill="auto"/>
            <w:vAlign w:val="center"/>
          </w:tcPr>
          <w:p w:rsidR="000E25DB" w:rsidRPr="00A94E44" w:rsidRDefault="000E25DB" w:rsidP="00AE7EB1">
            <w:pPr>
              <w:suppressAutoHyphens/>
              <w:spacing w:after="0" w:line="240" w:lineRule="auto"/>
              <w:jc w:val="center"/>
              <w:rPr>
                <w:rFonts w:eastAsia="Calibri"/>
                <w:sz w:val="18"/>
                <w:szCs w:val="18"/>
                <w:lang w:eastAsia="ar-SA"/>
              </w:rPr>
            </w:pPr>
            <w:r w:rsidRPr="00A94E44">
              <w:rPr>
                <w:rFonts w:eastAsia="Calibri"/>
                <w:sz w:val="18"/>
                <w:szCs w:val="18"/>
                <w:lang w:eastAsia="ar-SA"/>
              </w:rPr>
              <w:t>5</w:t>
            </w:r>
          </w:p>
        </w:tc>
        <w:tc>
          <w:tcPr>
            <w:tcW w:w="3969"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Czy udział wnioskowanego dofinansowania w całkowitych kosztach kwalifikowalnych operacji stanowi nie więcej niż 60%</w:t>
            </w:r>
          </w:p>
        </w:tc>
        <w:tc>
          <w:tcPr>
            <w:tcW w:w="640"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3</w:t>
            </w:r>
          </w:p>
        </w:tc>
        <w:tc>
          <w:tcPr>
            <w:tcW w:w="635"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0-1</w:t>
            </w:r>
          </w:p>
        </w:tc>
        <w:tc>
          <w:tcPr>
            <w:tcW w:w="2977"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1 pkt. – tak</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0 pkt. – nie</w:t>
            </w:r>
          </w:p>
          <w:p w:rsidR="000E25DB" w:rsidRPr="00A94E44" w:rsidRDefault="000E25DB" w:rsidP="00AE7EB1">
            <w:pPr>
              <w:suppressAutoHyphens/>
              <w:spacing w:after="0" w:line="240" w:lineRule="auto"/>
              <w:rPr>
                <w:rFonts w:eastAsia="Calibri" w:cs="Calibri"/>
                <w:sz w:val="18"/>
                <w:szCs w:val="18"/>
                <w:lang w:eastAsia="ar-SA"/>
              </w:rPr>
            </w:pPr>
          </w:p>
        </w:tc>
      </w:tr>
      <w:tr w:rsidR="000E25DB" w:rsidRPr="00A94E44" w:rsidTr="00AE7EB1">
        <w:trPr>
          <w:trHeight w:val="874"/>
        </w:trPr>
        <w:tc>
          <w:tcPr>
            <w:tcW w:w="534" w:type="dxa"/>
            <w:shd w:val="clear" w:color="auto" w:fill="auto"/>
            <w:vAlign w:val="center"/>
          </w:tcPr>
          <w:p w:rsidR="000E25DB" w:rsidRPr="00A94E44" w:rsidRDefault="000E25DB" w:rsidP="00AE7EB1">
            <w:pPr>
              <w:suppressAutoHyphens/>
              <w:spacing w:after="0" w:line="240" w:lineRule="auto"/>
              <w:jc w:val="center"/>
              <w:rPr>
                <w:rFonts w:eastAsia="Calibri"/>
                <w:sz w:val="18"/>
                <w:szCs w:val="18"/>
                <w:lang w:eastAsia="ar-SA"/>
              </w:rPr>
            </w:pPr>
            <w:r w:rsidRPr="00A94E44">
              <w:rPr>
                <w:rFonts w:eastAsia="Calibri"/>
                <w:sz w:val="18"/>
                <w:szCs w:val="18"/>
                <w:lang w:eastAsia="ar-SA"/>
              </w:rPr>
              <w:t>6</w:t>
            </w:r>
          </w:p>
        </w:tc>
        <w:tc>
          <w:tcPr>
            <w:tcW w:w="3969"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 xml:space="preserve">Czy zdaniem oceniającego typ operacji jest zgodny z zapisami § 4 ust. 1 Rozporządzenia </w:t>
            </w:r>
            <w:proofErr w:type="spellStart"/>
            <w:r w:rsidRPr="00A94E44">
              <w:rPr>
                <w:rFonts w:eastAsia="Calibri" w:cs="Calibri"/>
                <w:sz w:val="18"/>
                <w:szCs w:val="18"/>
                <w:lang w:eastAsia="ar-SA"/>
              </w:rPr>
              <w:t>MRiRW</w:t>
            </w:r>
            <w:proofErr w:type="spellEnd"/>
            <w:r w:rsidRPr="00A94E44">
              <w:rPr>
                <w:rFonts w:eastAsia="Calibri" w:cs="Calibri"/>
                <w:sz w:val="18"/>
                <w:szCs w:val="18"/>
                <w:lang w:eastAsia="ar-SA"/>
              </w:rPr>
              <w:t xml:space="preserve"> z dnia 15.10.2009 r.</w:t>
            </w:r>
          </w:p>
        </w:tc>
        <w:tc>
          <w:tcPr>
            <w:tcW w:w="640"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3</w:t>
            </w:r>
          </w:p>
        </w:tc>
        <w:tc>
          <w:tcPr>
            <w:tcW w:w="635"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0-1</w:t>
            </w:r>
          </w:p>
        </w:tc>
        <w:tc>
          <w:tcPr>
            <w:tcW w:w="2977"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1 pkt. – tak</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0 pkt. – nie</w:t>
            </w:r>
          </w:p>
          <w:p w:rsidR="000E25DB" w:rsidRPr="00A94E44" w:rsidRDefault="000E25DB" w:rsidP="00AE7EB1">
            <w:pPr>
              <w:suppressAutoHyphens/>
              <w:spacing w:after="0" w:line="240" w:lineRule="auto"/>
              <w:rPr>
                <w:rFonts w:eastAsia="Calibri" w:cs="Calibri"/>
                <w:sz w:val="18"/>
                <w:szCs w:val="18"/>
                <w:lang w:eastAsia="ar-SA"/>
              </w:rPr>
            </w:pPr>
          </w:p>
        </w:tc>
      </w:tr>
      <w:tr w:rsidR="000E25DB" w:rsidRPr="00A94E44" w:rsidTr="00AE7EB1">
        <w:trPr>
          <w:trHeight w:val="874"/>
        </w:trPr>
        <w:tc>
          <w:tcPr>
            <w:tcW w:w="534" w:type="dxa"/>
            <w:shd w:val="clear" w:color="auto" w:fill="auto"/>
            <w:vAlign w:val="center"/>
          </w:tcPr>
          <w:p w:rsidR="000E25DB" w:rsidRPr="00A94E44" w:rsidRDefault="000E25DB" w:rsidP="00AE7EB1">
            <w:pPr>
              <w:suppressAutoHyphens/>
              <w:spacing w:after="0" w:line="240" w:lineRule="auto"/>
              <w:jc w:val="center"/>
              <w:rPr>
                <w:rFonts w:eastAsia="Calibri"/>
                <w:sz w:val="18"/>
                <w:szCs w:val="18"/>
                <w:lang w:eastAsia="ar-SA"/>
              </w:rPr>
            </w:pPr>
            <w:r w:rsidRPr="00A94E44">
              <w:rPr>
                <w:rFonts w:eastAsia="Calibri"/>
                <w:sz w:val="18"/>
                <w:szCs w:val="18"/>
                <w:lang w:eastAsia="ar-SA"/>
              </w:rPr>
              <w:t>7</w:t>
            </w:r>
          </w:p>
        </w:tc>
        <w:tc>
          <w:tcPr>
            <w:tcW w:w="3969"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 xml:space="preserve">Czy zdaniem oceniającego wnioskodawca spełnia warunki § 4 ust. 2 Rozporządzenia </w:t>
            </w:r>
            <w:proofErr w:type="spellStart"/>
            <w:r w:rsidRPr="00A94E44">
              <w:rPr>
                <w:rFonts w:eastAsia="Calibri" w:cs="Calibri"/>
                <w:sz w:val="18"/>
                <w:szCs w:val="18"/>
                <w:lang w:eastAsia="ar-SA"/>
              </w:rPr>
              <w:t>MRiRW</w:t>
            </w:r>
            <w:proofErr w:type="spellEnd"/>
            <w:r w:rsidRPr="00A94E44">
              <w:rPr>
                <w:rFonts w:eastAsia="Calibri" w:cs="Calibri"/>
                <w:sz w:val="18"/>
                <w:szCs w:val="18"/>
                <w:lang w:eastAsia="ar-SA"/>
              </w:rPr>
              <w:t xml:space="preserve"> z dnia 15.10.2009 r.</w:t>
            </w:r>
          </w:p>
        </w:tc>
        <w:tc>
          <w:tcPr>
            <w:tcW w:w="640"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3</w:t>
            </w:r>
          </w:p>
        </w:tc>
        <w:tc>
          <w:tcPr>
            <w:tcW w:w="635"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0-1</w:t>
            </w:r>
          </w:p>
        </w:tc>
        <w:tc>
          <w:tcPr>
            <w:tcW w:w="2977"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1 pkt. – tak</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0 pkt. – nie</w:t>
            </w:r>
          </w:p>
          <w:p w:rsidR="000E25DB" w:rsidRPr="00A94E44" w:rsidRDefault="000E25DB" w:rsidP="00AE7EB1">
            <w:pPr>
              <w:suppressAutoHyphens/>
              <w:spacing w:after="0" w:line="240" w:lineRule="auto"/>
              <w:rPr>
                <w:rFonts w:eastAsia="Calibri" w:cs="Calibri"/>
                <w:sz w:val="18"/>
                <w:szCs w:val="18"/>
                <w:lang w:eastAsia="ar-SA"/>
              </w:rPr>
            </w:pPr>
          </w:p>
        </w:tc>
      </w:tr>
      <w:tr w:rsidR="000E25DB" w:rsidRPr="00A94E44" w:rsidTr="00AE7EB1">
        <w:trPr>
          <w:trHeight w:val="874"/>
        </w:trPr>
        <w:tc>
          <w:tcPr>
            <w:tcW w:w="534"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p>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8</w:t>
            </w:r>
          </w:p>
        </w:tc>
        <w:tc>
          <w:tcPr>
            <w:tcW w:w="3969"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Realizacja operacji spowoduje utworzenie nowych miejsc pracy</w:t>
            </w:r>
          </w:p>
        </w:tc>
        <w:tc>
          <w:tcPr>
            <w:tcW w:w="640"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3</w:t>
            </w:r>
          </w:p>
        </w:tc>
        <w:tc>
          <w:tcPr>
            <w:tcW w:w="635"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0-2</w:t>
            </w:r>
          </w:p>
        </w:tc>
        <w:tc>
          <w:tcPr>
            <w:tcW w:w="2977"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2 pkt. – więcej niż 2 miejsca pracy</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1 pkt. – 1-2 miejsca pracy</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0 pkt. – nie dotyczy</w:t>
            </w:r>
          </w:p>
        </w:tc>
      </w:tr>
      <w:tr w:rsidR="000E25DB" w:rsidRPr="00A94E44" w:rsidTr="00AE7EB1">
        <w:trPr>
          <w:trHeight w:val="515"/>
        </w:trPr>
        <w:tc>
          <w:tcPr>
            <w:tcW w:w="534"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9</w:t>
            </w:r>
          </w:p>
        </w:tc>
        <w:tc>
          <w:tcPr>
            <w:tcW w:w="3969"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Realizacja operacji spowoduje utworzenie nowych miejsc pracy dla kobiet</w:t>
            </w:r>
          </w:p>
        </w:tc>
        <w:tc>
          <w:tcPr>
            <w:tcW w:w="640"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2</w:t>
            </w:r>
          </w:p>
        </w:tc>
        <w:tc>
          <w:tcPr>
            <w:tcW w:w="635"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0-1</w:t>
            </w:r>
          </w:p>
        </w:tc>
        <w:tc>
          <w:tcPr>
            <w:tcW w:w="2977"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1 pkt. – tak</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0 pkt. - nie</w:t>
            </w:r>
          </w:p>
        </w:tc>
      </w:tr>
      <w:tr w:rsidR="000E25DB" w:rsidRPr="00A94E44" w:rsidTr="00AE7EB1">
        <w:tc>
          <w:tcPr>
            <w:tcW w:w="534"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10</w:t>
            </w:r>
          </w:p>
        </w:tc>
        <w:tc>
          <w:tcPr>
            <w:tcW w:w="3969"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Operacja ma charakter innowacyjny</w:t>
            </w:r>
          </w:p>
        </w:tc>
        <w:tc>
          <w:tcPr>
            <w:tcW w:w="640"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1</w:t>
            </w:r>
          </w:p>
        </w:tc>
        <w:tc>
          <w:tcPr>
            <w:tcW w:w="635"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0-1</w:t>
            </w:r>
          </w:p>
        </w:tc>
        <w:tc>
          <w:tcPr>
            <w:tcW w:w="2977"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1 pkt. – tak</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0 pkt. – nie</w:t>
            </w:r>
          </w:p>
        </w:tc>
      </w:tr>
      <w:tr w:rsidR="000E25DB" w:rsidRPr="00A94E44" w:rsidTr="00AE7EB1">
        <w:tc>
          <w:tcPr>
            <w:tcW w:w="534"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11</w:t>
            </w:r>
          </w:p>
        </w:tc>
        <w:tc>
          <w:tcPr>
            <w:tcW w:w="3969"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Wnioskodawca posiada udokumentowane doświadczenie w sektorze rybackim</w:t>
            </w:r>
          </w:p>
        </w:tc>
        <w:tc>
          <w:tcPr>
            <w:tcW w:w="640"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3</w:t>
            </w:r>
          </w:p>
        </w:tc>
        <w:tc>
          <w:tcPr>
            <w:tcW w:w="635"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0-3</w:t>
            </w:r>
          </w:p>
        </w:tc>
        <w:tc>
          <w:tcPr>
            <w:tcW w:w="2977"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3 pkt. -     ≥ 5 lat</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2 pkt. -     ≥ 2 lata i &lt; 5 lat</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1 pkt. -     &lt; 2 lata</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0 pkt. -     nie ma doświadczenia</w:t>
            </w:r>
          </w:p>
        </w:tc>
      </w:tr>
      <w:tr w:rsidR="000E25DB" w:rsidRPr="00A94E44" w:rsidTr="00AE7EB1">
        <w:tc>
          <w:tcPr>
            <w:tcW w:w="534"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12</w:t>
            </w:r>
          </w:p>
        </w:tc>
        <w:tc>
          <w:tcPr>
            <w:tcW w:w="3969"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Operacja wpływa korzystnie na stan środowiska naturalnego</w:t>
            </w:r>
          </w:p>
          <w:p w:rsidR="000E25DB" w:rsidRPr="00A94E44" w:rsidRDefault="000E25DB" w:rsidP="00AE7EB1">
            <w:pPr>
              <w:suppressAutoHyphens/>
              <w:spacing w:after="0" w:line="240" w:lineRule="auto"/>
              <w:rPr>
                <w:rFonts w:eastAsia="Calibri" w:cs="Calibri"/>
                <w:sz w:val="18"/>
                <w:szCs w:val="18"/>
                <w:lang w:eastAsia="ar-SA"/>
              </w:rPr>
            </w:pPr>
          </w:p>
        </w:tc>
        <w:tc>
          <w:tcPr>
            <w:tcW w:w="640"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2</w:t>
            </w:r>
          </w:p>
        </w:tc>
        <w:tc>
          <w:tcPr>
            <w:tcW w:w="635"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0-1</w:t>
            </w:r>
          </w:p>
        </w:tc>
        <w:tc>
          <w:tcPr>
            <w:tcW w:w="2977"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2 pkt. – w sposób bezpośredni</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1 pkt. – w sposób pośredni</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0 pkt. – nie wpływa</w:t>
            </w:r>
          </w:p>
        </w:tc>
      </w:tr>
      <w:tr w:rsidR="000E25DB" w:rsidRPr="00A94E44" w:rsidTr="00AE7EB1">
        <w:tc>
          <w:tcPr>
            <w:tcW w:w="534"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13</w:t>
            </w:r>
          </w:p>
        </w:tc>
        <w:tc>
          <w:tcPr>
            <w:tcW w:w="3969"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Czy wnioskodawca złożył wcześniej wniosek, który został pozytywnie zaopiniowany przez Komitet?</w:t>
            </w:r>
          </w:p>
        </w:tc>
        <w:tc>
          <w:tcPr>
            <w:tcW w:w="640"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2</w:t>
            </w:r>
          </w:p>
        </w:tc>
        <w:tc>
          <w:tcPr>
            <w:tcW w:w="635"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0-2</w:t>
            </w:r>
          </w:p>
        </w:tc>
        <w:tc>
          <w:tcPr>
            <w:tcW w:w="2977"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2 pkt. – nie</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1 pkt. – tak – 1 raz</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0 pkt. – tak – 2 razy i więcej</w:t>
            </w:r>
          </w:p>
        </w:tc>
      </w:tr>
      <w:tr w:rsidR="000E25DB" w:rsidRPr="00A94E44" w:rsidTr="00AE7EB1">
        <w:tc>
          <w:tcPr>
            <w:tcW w:w="534"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14</w:t>
            </w:r>
          </w:p>
        </w:tc>
        <w:tc>
          <w:tcPr>
            <w:tcW w:w="3969"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Wysokość wkładu własnego wyższa od minimum</w:t>
            </w:r>
          </w:p>
        </w:tc>
        <w:tc>
          <w:tcPr>
            <w:tcW w:w="640"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2</w:t>
            </w:r>
          </w:p>
        </w:tc>
        <w:tc>
          <w:tcPr>
            <w:tcW w:w="635" w:type="dxa"/>
            <w:shd w:val="clear" w:color="auto" w:fill="auto"/>
            <w:vAlign w:val="center"/>
          </w:tcPr>
          <w:p w:rsidR="000E25DB" w:rsidRPr="00A94E44" w:rsidRDefault="000E25DB" w:rsidP="00AE7EB1">
            <w:pPr>
              <w:suppressAutoHyphens/>
              <w:spacing w:after="0" w:line="240" w:lineRule="auto"/>
              <w:jc w:val="center"/>
              <w:rPr>
                <w:rFonts w:eastAsia="Calibri" w:cs="Calibri"/>
                <w:sz w:val="18"/>
                <w:szCs w:val="18"/>
                <w:lang w:eastAsia="ar-SA"/>
              </w:rPr>
            </w:pPr>
            <w:r w:rsidRPr="00A94E44">
              <w:rPr>
                <w:rFonts w:eastAsia="Calibri" w:cs="Calibri"/>
                <w:sz w:val="18"/>
                <w:szCs w:val="18"/>
                <w:lang w:eastAsia="ar-SA"/>
              </w:rPr>
              <w:t>0-2</w:t>
            </w:r>
          </w:p>
        </w:tc>
        <w:tc>
          <w:tcPr>
            <w:tcW w:w="2977" w:type="dxa"/>
            <w:shd w:val="clear" w:color="auto" w:fill="auto"/>
            <w:vAlign w:val="center"/>
          </w:tcPr>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 xml:space="preserve">2 pkt. –    ≥20% </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1 pkt. –    ≥10% i &lt; 20%</w:t>
            </w:r>
          </w:p>
          <w:p w:rsidR="000E25DB" w:rsidRPr="00A94E44" w:rsidRDefault="000E25DB" w:rsidP="00AE7EB1">
            <w:pPr>
              <w:suppressAutoHyphens/>
              <w:spacing w:after="0" w:line="240" w:lineRule="auto"/>
              <w:rPr>
                <w:rFonts w:eastAsia="Calibri" w:cs="Calibri"/>
                <w:sz w:val="18"/>
                <w:szCs w:val="18"/>
                <w:lang w:eastAsia="ar-SA"/>
              </w:rPr>
            </w:pPr>
            <w:r w:rsidRPr="00A94E44">
              <w:rPr>
                <w:rFonts w:eastAsia="Calibri" w:cs="Calibri"/>
                <w:sz w:val="18"/>
                <w:szCs w:val="18"/>
                <w:lang w:eastAsia="ar-SA"/>
              </w:rPr>
              <w:t>0 pkt. –    &lt;10%</w:t>
            </w:r>
          </w:p>
        </w:tc>
      </w:tr>
      <w:tr w:rsidR="000E25DB" w:rsidRPr="00A94E44" w:rsidTr="00AE7EB1">
        <w:trPr>
          <w:gridAfter w:val="3"/>
          <w:wAfter w:w="4252" w:type="dxa"/>
          <w:trHeight w:val="774"/>
        </w:trPr>
        <w:tc>
          <w:tcPr>
            <w:tcW w:w="4503" w:type="dxa"/>
            <w:gridSpan w:val="2"/>
            <w:shd w:val="clear" w:color="auto" w:fill="auto"/>
            <w:vAlign w:val="center"/>
          </w:tcPr>
          <w:p w:rsidR="000E25DB" w:rsidRPr="00A94E44" w:rsidRDefault="000E25DB" w:rsidP="00AE7EB1">
            <w:pPr>
              <w:suppressAutoHyphens/>
              <w:spacing w:after="0" w:line="240" w:lineRule="auto"/>
              <w:jc w:val="center"/>
              <w:rPr>
                <w:rFonts w:eastAsia="Calibri"/>
                <w:color w:val="FFFFFF"/>
                <w:sz w:val="16"/>
                <w:szCs w:val="16"/>
                <w:lang w:eastAsia="ar-SA"/>
              </w:rPr>
            </w:pPr>
            <w:r w:rsidRPr="00A94E44">
              <w:rPr>
                <w:rFonts w:eastAsia="Calibri"/>
                <w:sz w:val="16"/>
                <w:szCs w:val="16"/>
                <w:lang w:eastAsia="ar-SA"/>
              </w:rPr>
              <w:t>Maksymalna ilość pkt. 49</w:t>
            </w:r>
          </w:p>
        </w:tc>
      </w:tr>
    </w:tbl>
    <w:p w:rsidR="000E25DB" w:rsidRPr="00A94E44" w:rsidRDefault="000E25DB" w:rsidP="000E25DB">
      <w:pPr>
        <w:spacing w:after="0" w:line="240" w:lineRule="auto"/>
        <w:rPr>
          <w:rFonts w:eastAsia="Calibri"/>
          <w:sz w:val="16"/>
          <w:szCs w:val="16"/>
          <w:lang w:eastAsia="en-US"/>
        </w:rPr>
      </w:pPr>
    </w:p>
    <w:p w:rsidR="000E25DB" w:rsidRPr="00A94E44" w:rsidRDefault="000E25DB" w:rsidP="000E25DB">
      <w:pPr>
        <w:spacing w:after="0" w:line="240" w:lineRule="auto"/>
        <w:rPr>
          <w:rFonts w:eastAsia="Calibri"/>
          <w:sz w:val="16"/>
          <w:szCs w:val="16"/>
          <w:lang w:eastAsia="en-US"/>
        </w:rPr>
      </w:pPr>
    </w:p>
    <w:p w:rsidR="000E25DB" w:rsidRPr="00A94E44" w:rsidRDefault="000E25DB" w:rsidP="000E25DB"/>
    <w:p w:rsidR="000E25DB" w:rsidRPr="00A94E44" w:rsidRDefault="000E25DB" w:rsidP="000E25DB">
      <w:pPr>
        <w:spacing w:after="0" w:line="240" w:lineRule="auto"/>
        <w:jc w:val="center"/>
        <w:rPr>
          <w:rFonts w:eastAsia="Calibri"/>
          <w:lang w:eastAsia="en-US"/>
        </w:rPr>
      </w:pPr>
    </w:p>
    <w:p w:rsidR="000E25DB" w:rsidRPr="00A94E44" w:rsidRDefault="000E25DB" w:rsidP="000E25DB">
      <w:pPr>
        <w:spacing w:after="0" w:line="240" w:lineRule="auto"/>
        <w:jc w:val="center"/>
        <w:rPr>
          <w:rFonts w:eastAsia="Calibri"/>
          <w:lang w:eastAsia="en-US"/>
        </w:rPr>
      </w:pPr>
      <w:r w:rsidRPr="00A94E44">
        <w:rPr>
          <w:rFonts w:eastAsia="Calibri"/>
          <w:lang w:eastAsia="en-US"/>
        </w:rPr>
        <w:lastRenderedPageBreak/>
        <w:t>INSTRUKCJA I OPIS KRYTERIÓW DO KARTY</w:t>
      </w:r>
    </w:p>
    <w:p w:rsidR="000E25DB" w:rsidRPr="00A94E44" w:rsidRDefault="000E25DB" w:rsidP="000E25DB">
      <w:pPr>
        <w:spacing w:after="0" w:line="240" w:lineRule="auto"/>
        <w:jc w:val="center"/>
        <w:rPr>
          <w:rFonts w:eastAsia="Calibri"/>
          <w:sz w:val="16"/>
          <w:szCs w:val="16"/>
          <w:lang w:eastAsia="en-US"/>
        </w:rPr>
      </w:pPr>
      <w:r w:rsidRPr="00A94E44">
        <w:rPr>
          <w:rFonts w:eastAsia="Calibri"/>
          <w:sz w:val="16"/>
          <w:szCs w:val="16"/>
          <w:lang w:eastAsia="en-US"/>
        </w:rPr>
        <w:t>RESTRUKTURYZACJA LUB REORIENTACJA DZIAŁALNOŚCI GOSPODARCZEJ, LUB DYWERSYFIKACJA ZATRUDNIENIA OSÓB MAJĄCYCH PRACĘ ZWIĄZANĄ Z SEKTOREM RYBACTWA, W DRODZE TWORZENIA DODATKOWYCH MIEJSC PRACY POZA TYM SEKTOREM</w:t>
      </w:r>
    </w:p>
    <w:p w:rsidR="000E25DB" w:rsidRPr="00A94E44" w:rsidRDefault="000E25DB" w:rsidP="000E25DB"/>
    <w:p w:rsidR="000E25DB" w:rsidRPr="00A94E44" w:rsidRDefault="000E25DB" w:rsidP="000E25DB">
      <w:pPr>
        <w:jc w:val="both"/>
        <w:rPr>
          <w:rFonts w:eastAsia="Calibri"/>
          <w:b/>
          <w:lang w:eastAsia="en-US"/>
        </w:rPr>
      </w:pPr>
      <w:r w:rsidRPr="00A94E44">
        <w:rPr>
          <w:rFonts w:eastAsia="Calibri"/>
          <w:b/>
          <w:lang w:eastAsia="en-US"/>
        </w:rPr>
        <w:t>1.</w:t>
      </w:r>
      <w:r w:rsidRPr="00A94E44">
        <w:rPr>
          <w:rFonts w:eastAsia="Calibri"/>
          <w:b/>
          <w:lang w:eastAsia="en-US"/>
        </w:rPr>
        <w:tab/>
        <w:t>Czy formularz wniosku został złożony na odpowiednim druku i został wypełniony zgodnie z instrukcją?</w:t>
      </w:r>
    </w:p>
    <w:p w:rsidR="000E25DB" w:rsidRPr="00A94E44" w:rsidRDefault="000E25DB" w:rsidP="000E25DB">
      <w:pPr>
        <w:jc w:val="both"/>
        <w:rPr>
          <w:rFonts w:eastAsia="Calibri"/>
          <w:b/>
          <w:lang w:eastAsia="en-US"/>
        </w:rPr>
      </w:pPr>
      <w:r w:rsidRPr="00A94E44">
        <w:rPr>
          <w:rFonts w:eastAsia="Calibri"/>
          <w:i/>
          <w:lang w:eastAsia="en-US"/>
        </w:rPr>
        <w:t>Punkty przyznawane będą za poprawnie wypełniony wniosek (złożony na formularzu obowiązującym w konkursie oraz wypełniony zgodnie z opublikowaną w ramach konkursu instrukcją wypełniania wniosków). Punkty za prawidłowość wypełnienia wniosku mają za zadanie zmobilizować wnioskodawcę do zapoznania się z instrukcją wypełniania wniosków oraz do poprawnego wypełnienia formularza wniosku. Punktów nie przyznaje się wtedy, jeśli wniosek złożony jest na nieprawidłowym formularzu, lub zawiera poważne uchybienia – utrudniające poprawną i jednoznaczną ocenę wniosku.</w:t>
      </w:r>
    </w:p>
    <w:p w:rsidR="000E25DB" w:rsidRPr="00A94E44" w:rsidRDefault="000E25DB" w:rsidP="000E25DB">
      <w:pPr>
        <w:spacing w:line="360" w:lineRule="auto"/>
        <w:jc w:val="both"/>
        <w:rPr>
          <w:rFonts w:eastAsia="Calibri"/>
          <w:b/>
          <w:lang w:eastAsia="en-US"/>
        </w:rPr>
      </w:pPr>
      <w:r w:rsidRPr="00A94E44">
        <w:rPr>
          <w:rFonts w:eastAsia="Calibri"/>
          <w:b/>
          <w:lang w:eastAsia="en-US"/>
        </w:rPr>
        <w:t>2.</w:t>
      </w:r>
      <w:r w:rsidRPr="00A94E44">
        <w:rPr>
          <w:rFonts w:eastAsia="Calibri"/>
          <w:b/>
          <w:lang w:eastAsia="en-US"/>
        </w:rPr>
        <w:tab/>
        <w:t>Czy wnioskodawca wraz z wnioskiem złożył wszystkie wymagane dokumenty?</w:t>
      </w:r>
    </w:p>
    <w:p w:rsidR="000E25DB" w:rsidRPr="00A94E44" w:rsidRDefault="000E25DB" w:rsidP="000E25DB">
      <w:pPr>
        <w:spacing w:after="0" w:line="360" w:lineRule="auto"/>
        <w:jc w:val="both"/>
        <w:rPr>
          <w:rFonts w:eastAsia="Calibri"/>
          <w:i/>
          <w:lang w:eastAsia="en-US"/>
        </w:rPr>
      </w:pPr>
      <w:r w:rsidRPr="00A94E44">
        <w:rPr>
          <w:rFonts w:eastAsia="Calibri"/>
          <w:i/>
          <w:lang w:eastAsia="en-US"/>
        </w:rPr>
        <w:t xml:space="preserve">Punkty przyznawane są w przypadku, gdy wnioskodawca złożył wraz z wnioskiem wszystkie wymagane dokumenty (załączniki), zgodnie z wykazem podanym w informacji o możliwości składania wniosków. Punkt,  za złożenie wszystkich wymaganych w aplikacji załączników, mają za zadanie zmobilizować potencjalnych beneficjentów do szczegółowej analizy ogłoszonego konkursu oraz zachęcenie wnioskodawcy do analizy faktycznej możliwości realizacji operacji – uzyskanie niezbędnych dokumentów np. decyzji pozwolenie na budowę. </w:t>
      </w:r>
    </w:p>
    <w:p w:rsidR="000E25DB" w:rsidRPr="00A94E44" w:rsidRDefault="000E25DB" w:rsidP="000E25DB">
      <w:pPr>
        <w:spacing w:after="0" w:line="240" w:lineRule="auto"/>
        <w:jc w:val="both"/>
        <w:rPr>
          <w:rFonts w:eastAsia="Calibri"/>
          <w:i/>
          <w:lang w:eastAsia="en-US"/>
        </w:rPr>
      </w:pPr>
    </w:p>
    <w:p w:rsidR="000E25DB" w:rsidRPr="00A94E44" w:rsidRDefault="000E25DB" w:rsidP="000E25DB">
      <w:pPr>
        <w:jc w:val="both"/>
        <w:rPr>
          <w:rFonts w:eastAsia="Calibri"/>
          <w:i/>
          <w:lang w:eastAsia="en-US"/>
        </w:rPr>
      </w:pPr>
      <w:r w:rsidRPr="00A94E44">
        <w:rPr>
          <w:rFonts w:eastAsia="Calibri"/>
          <w:b/>
          <w:lang w:eastAsia="en-US"/>
        </w:rPr>
        <w:t>3.</w:t>
      </w:r>
      <w:r w:rsidRPr="00A94E44">
        <w:rPr>
          <w:rFonts w:eastAsia="Calibri"/>
          <w:b/>
          <w:lang w:eastAsia="en-US"/>
        </w:rPr>
        <w:tab/>
        <w:t>Czy wnioskowana kwota pomocy nie przekracza maksymalnej kwoty dopuszczalnej dla jednej operacji?</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 xml:space="preserve">Punkty przyznawane będą, jeśli wnioskowana kwota dofinansowania we wniosku nie przekroczy maksymalnej, wskazanej w Rozporządzeniu </w:t>
      </w:r>
      <w:proofErr w:type="spellStart"/>
      <w:r w:rsidRPr="00A94E44">
        <w:rPr>
          <w:rFonts w:eastAsia="Calibri"/>
          <w:i/>
          <w:lang w:eastAsia="en-US"/>
        </w:rPr>
        <w:t>MRiRW</w:t>
      </w:r>
      <w:proofErr w:type="spellEnd"/>
      <w:r w:rsidRPr="00A94E44">
        <w:rPr>
          <w:rFonts w:eastAsia="Calibri"/>
          <w:i/>
          <w:lang w:eastAsia="en-US"/>
        </w:rPr>
        <w:t xml:space="preserve"> z 15.10.2009, kwoty dofinansowania przewidzianej dla jednej operacji. Kryterium promuje wnioski, które w jak największym stopniu spełniają zapisy Rozporządzenia.</w:t>
      </w:r>
    </w:p>
    <w:p w:rsidR="000E25DB" w:rsidRPr="00A94E44" w:rsidRDefault="000E25DB" w:rsidP="000E25DB">
      <w:pPr>
        <w:spacing w:after="0" w:line="240" w:lineRule="auto"/>
        <w:jc w:val="both"/>
        <w:rPr>
          <w:rFonts w:eastAsia="Calibri"/>
          <w:i/>
          <w:lang w:eastAsia="en-US"/>
        </w:rPr>
      </w:pPr>
    </w:p>
    <w:p w:rsidR="000E25DB" w:rsidRPr="00A94E44" w:rsidRDefault="000E25DB" w:rsidP="000E25DB">
      <w:pPr>
        <w:spacing w:after="0" w:line="240" w:lineRule="auto"/>
        <w:jc w:val="both"/>
        <w:rPr>
          <w:rFonts w:eastAsia="Calibri"/>
          <w:i/>
          <w:lang w:eastAsia="en-US"/>
        </w:rPr>
      </w:pPr>
    </w:p>
    <w:p w:rsidR="000E25DB" w:rsidRPr="00A94E44" w:rsidRDefault="000E25DB" w:rsidP="000E25DB">
      <w:pPr>
        <w:spacing w:after="0" w:line="240" w:lineRule="auto"/>
        <w:jc w:val="both"/>
        <w:rPr>
          <w:rFonts w:eastAsia="Calibri"/>
          <w:b/>
          <w:lang w:eastAsia="en-US"/>
        </w:rPr>
      </w:pPr>
      <w:r w:rsidRPr="00A94E44">
        <w:rPr>
          <w:rFonts w:eastAsia="Calibri"/>
          <w:b/>
          <w:lang w:eastAsia="en-US"/>
        </w:rPr>
        <w:t>4.</w:t>
      </w:r>
      <w:r w:rsidRPr="00A94E44">
        <w:rPr>
          <w:rFonts w:eastAsia="Calibri"/>
          <w:b/>
          <w:lang w:eastAsia="en-US"/>
        </w:rPr>
        <w:tab/>
        <w:t>Czy zgodnie z wiedzą oceniającego suma kwoty zakontraktowanej wcześniej i wnioskowanej przez beneficjenta nie przekracza maksymalnej kwoty dopuszczalnej dla jednego wnioskodawcy.</w:t>
      </w:r>
    </w:p>
    <w:p w:rsidR="000E25DB" w:rsidRPr="00A94E44" w:rsidRDefault="000E25DB" w:rsidP="000E25DB">
      <w:pPr>
        <w:spacing w:after="0" w:line="240" w:lineRule="auto"/>
        <w:jc w:val="both"/>
        <w:rPr>
          <w:rFonts w:eastAsia="Calibri"/>
          <w:i/>
          <w:lang w:eastAsia="en-US"/>
        </w:rPr>
      </w:pPr>
      <w:r w:rsidRPr="00A94E44">
        <w:rPr>
          <w:rFonts w:eastAsia="Calibri"/>
          <w:b/>
          <w:lang w:eastAsia="en-US"/>
        </w:rPr>
        <w:br/>
      </w:r>
      <w:r w:rsidRPr="00A94E44">
        <w:rPr>
          <w:rFonts w:eastAsia="Calibri"/>
          <w:i/>
          <w:lang w:eastAsia="en-US"/>
        </w:rPr>
        <w:t xml:space="preserve">Punkty przyznawane będą w sytuacji, gdy suma kwot dofinansowania wszystkich podpisanych przez wnioskodawcę umów o dofinansowanie w ramach Osi 4 PO RYBY 2007-2013 oraz kwoty dofinansowania  ocenianego wniosku nie przekracza maksymalnej wartości wskazanej w Rozporządzeniu </w:t>
      </w:r>
      <w:proofErr w:type="spellStart"/>
      <w:r w:rsidRPr="00A94E44">
        <w:rPr>
          <w:rFonts w:eastAsia="Calibri"/>
          <w:i/>
          <w:lang w:eastAsia="en-US"/>
        </w:rPr>
        <w:t>MRiRW</w:t>
      </w:r>
      <w:proofErr w:type="spellEnd"/>
      <w:r w:rsidRPr="00A94E44">
        <w:rPr>
          <w:rFonts w:eastAsia="Calibri"/>
          <w:i/>
          <w:lang w:eastAsia="en-US"/>
        </w:rPr>
        <w:t xml:space="preserve"> z 15.10.2009. Kryterium promuje wnioski, które w jak największym stopniu spełniają </w:t>
      </w:r>
      <w:proofErr w:type="spellStart"/>
      <w:r w:rsidRPr="00A94E44">
        <w:rPr>
          <w:rFonts w:eastAsia="Calibri"/>
          <w:i/>
          <w:lang w:eastAsia="en-US"/>
        </w:rPr>
        <w:t>zapisyRozporządzenia</w:t>
      </w:r>
      <w:proofErr w:type="spellEnd"/>
      <w:r w:rsidRPr="00A94E44">
        <w:rPr>
          <w:rFonts w:eastAsia="Calibri"/>
          <w:i/>
          <w:lang w:eastAsia="en-US"/>
        </w:rPr>
        <w:t>.</w:t>
      </w:r>
    </w:p>
    <w:p w:rsidR="000E25DB" w:rsidRPr="00A94E44" w:rsidRDefault="000E25DB" w:rsidP="000E25DB">
      <w:pPr>
        <w:spacing w:after="0" w:line="240" w:lineRule="auto"/>
        <w:jc w:val="both"/>
        <w:rPr>
          <w:rFonts w:eastAsia="Calibri"/>
          <w:i/>
          <w:lang w:eastAsia="en-US"/>
        </w:rPr>
      </w:pPr>
    </w:p>
    <w:p w:rsidR="000E25DB" w:rsidRPr="00A94E44" w:rsidRDefault="000E25DB" w:rsidP="000E25DB">
      <w:pPr>
        <w:spacing w:after="0" w:line="240" w:lineRule="auto"/>
        <w:jc w:val="both"/>
        <w:rPr>
          <w:rFonts w:eastAsia="Calibri"/>
          <w:i/>
          <w:lang w:eastAsia="en-US"/>
        </w:rPr>
      </w:pPr>
    </w:p>
    <w:p w:rsidR="000E25DB" w:rsidRDefault="000E25DB" w:rsidP="000E25DB">
      <w:pPr>
        <w:spacing w:after="0" w:line="240" w:lineRule="auto"/>
        <w:jc w:val="both"/>
        <w:rPr>
          <w:rFonts w:eastAsia="Calibri"/>
          <w:b/>
          <w:lang w:eastAsia="en-US"/>
        </w:rPr>
      </w:pPr>
    </w:p>
    <w:p w:rsidR="000E25DB" w:rsidRPr="00A94E44" w:rsidRDefault="000E25DB" w:rsidP="000E25DB">
      <w:pPr>
        <w:spacing w:after="0" w:line="240" w:lineRule="auto"/>
        <w:jc w:val="both"/>
        <w:rPr>
          <w:rFonts w:eastAsia="Calibri"/>
          <w:b/>
          <w:lang w:eastAsia="en-US"/>
        </w:rPr>
      </w:pPr>
    </w:p>
    <w:p w:rsidR="000E25DB" w:rsidRPr="00A94E44" w:rsidRDefault="000E25DB" w:rsidP="000E25DB">
      <w:pPr>
        <w:spacing w:after="0" w:line="240" w:lineRule="auto"/>
        <w:jc w:val="both"/>
        <w:rPr>
          <w:rFonts w:eastAsia="Calibri"/>
          <w:b/>
          <w:lang w:eastAsia="en-US"/>
        </w:rPr>
      </w:pPr>
      <w:r w:rsidRPr="00A94E44">
        <w:rPr>
          <w:rFonts w:eastAsia="Calibri"/>
          <w:b/>
          <w:lang w:eastAsia="en-US"/>
        </w:rPr>
        <w:lastRenderedPageBreak/>
        <w:t>5.</w:t>
      </w:r>
      <w:r w:rsidRPr="00A94E44">
        <w:rPr>
          <w:rFonts w:eastAsia="Calibri"/>
          <w:b/>
          <w:lang w:eastAsia="en-US"/>
        </w:rPr>
        <w:tab/>
        <w:t>Czy udział wnioskowanego dofinansowania w całkowitych kosztach kwalifikowalnych operacji stanowi nie więcej niż 60%</w:t>
      </w:r>
    </w:p>
    <w:p w:rsidR="000E25DB" w:rsidRPr="00A94E44" w:rsidRDefault="000E25DB" w:rsidP="000E25DB">
      <w:pPr>
        <w:spacing w:after="0" w:line="240" w:lineRule="auto"/>
        <w:jc w:val="both"/>
        <w:rPr>
          <w:rFonts w:eastAsia="Calibri"/>
          <w:b/>
          <w:lang w:eastAsia="en-US"/>
        </w:rPr>
      </w:pPr>
    </w:p>
    <w:p w:rsidR="000E25DB" w:rsidRPr="00A94E44" w:rsidRDefault="000E25DB" w:rsidP="000E25DB">
      <w:pPr>
        <w:spacing w:after="0" w:line="240" w:lineRule="auto"/>
        <w:jc w:val="both"/>
        <w:rPr>
          <w:rFonts w:eastAsia="Calibri"/>
          <w:i/>
          <w:lang w:eastAsia="en-US"/>
        </w:rPr>
      </w:pPr>
      <w:r w:rsidRPr="00A94E44">
        <w:rPr>
          <w:rFonts w:eastAsia="Calibri"/>
          <w:i/>
          <w:lang w:eastAsia="en-US"/>
        </w:rPr>
        <w:t>Punkty przyznawane będą, jeśli wnioskowana kwota dofinansowania nie przekracza 60% wartości całkowitych kosztów kwalifikowalnych operacji. Wyliczeń dokonuje się z dokładnością dwóch miejsc po przecinku. Kryterium promuje wnioski, które w jak największym stopniu spełniają zapisy Rozporządzenia.</w:t>
      </w:r>
    </w:p>
    <w:p w:rsidR="000E25DB" w:rsidRPr="00A94E44" w:rsidRDefault="000E25DB" w:rsidP="000E25DB">
      <w:pPr>
        <w:spacing w:after="0" w:line="240" w:lineRule="auto"/>
        <w:jc w:val="both"/>
        <w:rPr>
          <w:rFonts w:eastAsia="Calibri"/>
          <w:i/>
          <w:lang w:eastAsia="en-US"/>
        </w:rPr>
      </w:pPr>
    </w:p>
    <w:p w:rsidR="000E25DB" w:rsidRPr="00A94E44" w:rsidRDefault="000E25DB" w:rsidP="000E25DB">
      <w:pPr>
        <w:spacing w:after="0" w:line="240" w:lineRule="auto"/>
        <w:jc w:val="both"/>
        <w:rPr>
          <w:rFonts w:eastAsia="Calibri"/>
          <w:i/>
          <w:lang w:eastAsia="en-US"/>
        </w:rPr>
      </w:pPr>
    </w:p>
    <w:p w:rsidR="000E25DB" w:rsidRPr="00A94E44" w:rsidRDefault="000E25DB" w:rsidP="000E25DB">
      <w:pPr>
        <w:spacing w:after="0" w:line="240" w:lineRule="auto"/>
        <w:jc w:val="both"/>
        <w:rPr>
          <w:rFonts w:eastAsia="Calibri"/>
          <w:b/>
          <w:lang w:eastAsia="en-US"/>
        </w:rPr>
      </w:pPr>
      <w:r w:rsidRPr="00A94E44">
        <w:rPr>
          <w:rFonts w:eastAsia="Calibri"/>
          <w:b/>
          <w:lang w:eastAsia="en-US"/>
        </w:rPr>
        <w:t xml:space="preserve">6. </w:t>
      </w:r>
      <w:r w:rsidRPr="00A94E44">
        <w:rPr>
          <w:rFonts w:eastAsia="Calibri"/>
          <w:b/>
          <w:lang w:eastAsia="en-US"/>
        </w:rPr>
        <w:tab/>
        <w:t xml:space="preserve">Czy zdaniem oceniającego typ operacji jest zgodny z zapisami § 4 ust. 1 Rozporządzenia </w:t>
      </w:r>
      <w:proofErr w:type="spellStart"/>
      <w:r w:rsidRPr="00A94E44">
        <w:rPr>
          <w:rFonts w:eastAsia="Calibri"/>
          <w:b/>
          <w:lang w:eastAsia="en-US"/>
        </w:rPr>
        <w:t>MRiRW</w:t>
      </w:r>
      <w:proofErr w:type="spellEnd"/>
      <w:r w:rsidRPr="00A94E44">
        <w:rPr>
          <w:rFonts w:eastAsia="Calibri"/>
          <w:b/>
          <w:lang w:eastAsia="en-US"/>
        </w:rPr>
        <w:t xml:space="preserve"> z dnia 15.10.2009 r.</w:t>
      </w:r>
    </w:p>
    <w:p w:rsidR="000E25DB" w:rsidRPr="00A94E44" w:rsidRDefault="000E25DB" w:rsidP="000E25DB">
      <w:pPr>
        <w:spacing w:after="0" w:line="240" w:lineRule="auto"/>
        <w:jc w:val="both"/>
        <w:rPr>
          <w:rFonts w:eastAsia="Calibri"/>
          <w:b/>
          <w:lang w:eastAsia="en-US"/>
        </w:rPr>
      </w:pPr>
    </w:p>
    <w:p w:rsidR="000E25DB" w:rsidRPr="00A94E44" w:rsidRDefault="000E25DB" w:rsidP="000E25DB">
      <w:pPr>
        <w:spacing w:after="0" w:line="240" w:lineRule="auto"/>
        <w:jc w:val="both"/>
        <w:rPr>
          <w:rFonts w:eastAsia="Calibri"/>
          <w:i/>
          <w:lang w:eastAsia="en-US"/>
        </w:rPr>
      </w:pPr>
      <w:r w:rsidRPr="00A94E44">
        <w:rPr>
          <w:rFonts w:eastAsia="Calibri"/>
          <w:i/>
          <w:lang w:eastAsia="en-US"/>
        </w:rPr>
        <w:t xml:space="preserve">Punkty przyznawane będą gdy rodzaj operacji zgodny jest zapisami § 6 ust. 1 Rozporządzenia </w:t>
      </w:r>
      <w:proofErr w:type="spellStart"/>
      <w:r w:rsidRPr="00A94E44">
        <w:rPr>
          <w:rFonts w:eastAsia="Calibri"/>
          <w:i/>
          <w:lang w:eastAsia="en-US"/>
        </w:rPr>
        <w:t>MRiRW</w:t>
      </w:r>
      <w:proofErr w:type="spellEnd"/>
      <w:r w:rsidRPr="00A94E44">
        <w:rPr>
          <w:rFonts w:eastAsia="Calibri"/>
          <w:i/>
          <w:lang w:eastAsia="en-US"/>
        </w:rPr>
        <w:t xml:space="preserve"> z dnia 15.10.2009 r. Kryterium to premiować będzie operacje klarowne, których dofinansowanie zdaniem oceniającego będzie zgodne z obowiązującym prawem.</w:t>
      </w:r>
    </w:p>
    <w:p w:rsidR="000E25DB" w:rsidRPr="00A94E44" w:rsidRDefault="000E25DB" w:rsidP="000E25DB"/>
    <w:p w:rsidR="000E25DB" w:rsidRPr="00A94E44" w:rsidRDefault="000E25DB" w:rsidP="000E25DB">
      <w:pPr>
        <w:jc w:val="both"/>
        <w:rPr>
          <w:b/>
        </w:rPr>
      </w:pPr>
      <w:r w:rsidRPr="00A94E44">
        <w:rPr>
          <w:b/>
        </w:rPr>
        <w:t>7.</w:t>
      </w:r>
      <w:r w:rsidRPr="00A94E44">
        <w:rPr>
          <w:b/>
        </w:rPr>
        <w:tab/>
        <w:t xml:space="preserve">Czy zdaniem oceniającego wnioskodawca spełnia warunki § 4 ust. 2 Rozporządzenia </w:t>
      </w:r>
      <w:proofErr w:type="spellStart"/>
      <w:r w:rsidRPr="00A94E44">
        <w:rPr>
          <w:b/>
        </w:rPr>
        <w:t>MRiRW</w:t>
      </w:r>
      <w:proofErr w:type="spellEnd"/>
      <w:r w:rsidRPr="00A94E44">
        <w:rPr>
          <w:b/>
        </w:rPr>
        <w:t xml:space="preserve"> z dnia 15.10.2009 r.</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 xml:space="preserve">Punkty przyznawane będą gdy wnioskodawca spełnia § 6 ust. 2 Rozporządzenia </w:t>
      </w:r>
      <w:proofErr w:type="spellStart"/>
      <w:r w:rsidRPr="00A94E44">
        <w:rPr>
          <w:rFonts w:eastAsia="Calibri"/>
          <w:i/>
          <w:lang w:eastAsia="en-US"/>
        </w:rPr>
        <w:t>MRiRW</w:t>
      </w:r>
      <w:proofErr w:type="spellEnd"/>
      <w:r w:rsidRPr="00A94E44">
        <w:rPr>
          <w:rFonts w:eastAsia="Calibri"/>
          <w:i/>
          <w:lang w:eastAsia="en-US"/>
        </w:rPr>
        <w:t xml:space="preserve"> z dnia 15.10.2009 r. czyli prowadzi działalność rybacką lub okołorybacką w wymienionym w Rozporządzeniu zakresie. Kryterium premiować ma wnioskodawców, których działalność w odpowiednim zakresie nie budzi żadnych wątpliwości.</w:t>
      </w:r>
    </w:p>
    <w:p w:rsidR="000E25DB" w:rsidRPr="00A94E44" w:rsidRDefault="000E25DB" w:rsidP="000E25DB">
      <w:pPr>
        <w:rPr>
          <w:b/>
        </w:rPr>
      </w:pPr>
    </w:p>
    <w:p w:rsidR="000E25DB" w:rsidRPr="00A94E44" w:rsidRDefault="000E25DB" w:rsidP="000E25DB">
      <w:pPr>
        <w:rPr>
          <w:rFonts w:eastAsia="Calibri"/>
          <w:b/>
          <w:lang w:eastAsia="en-US"/>
        </w:rPr>
      </w:pPr>
      <w:r w:rsidRPr="00A94E44">
        <w:rPr>
          <w:rFonts w:eastAsia="Calibri"/>
          <w:b/>
          <w:lang w:eastAsia="en-US"/>
        </w:rPr>
        <w:t>8.</w:t>
      </w:r>
      <w:r w:rsidRPr="00A94E44">
        <w:rPr>
          <w:rFonts w:eastAsia="Calibri"/>
          <w:b/>
          <w:lang w:eastAsia="en-US"/>
        </w:rPr>
        <w:tab/>
        <w:t>Realizacja operacji spowoduje utworzenie nowych miejsc pracy?</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Premiowana będzie efektywność wydatkowania wnioskowanych środków mierzona liczbą utworzonych, w wyniku realizacji operacji, miejsc pracy. Stosowanie kryterium bezpośrednio wpłynie na osiągnięcie celów LSROR, takich jak zmniejszenie bezrobocia poprzez rozwój mikro i małej przedsiębiorczości i wskaźników realizacji celu -  ilość osób zatrudnionych w wyniku realizacji strategii, Ilość osób objętych wsparciem powstałym w wyniku realizacji strategii;</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w:t>
      </w:r>
      <w:r w:rsidRPr="00A94E44">
        <w:rPr>
          <w:rFonts w:eastAsia="Calibri"/>
          <w:i/>
          <w:lang w:eastAsia="en-US"/>
        </w:rPr>
        <w:tab/>
        <w:t>Zwiększenie zatrudnienia ustala się na podstawie punktu IV 1.1. Wniosku o dofinansowanie. Pod uwagę brane są wyłącznie osoby zatrudnione na podstawie umowy o pracę w przeliczeniu na pełen etat.</w:t>
      </w:r>
    </w:p>
    <w:p w:rsidR="000E25DB" w:rsidRPr="00A94E44" w:rsidRDefault="000E25DB" w:rsidP="000E25DB">
      <w:pPr>
        <w:rPr>
          <w:rFonts w:eastAsia="Calibri"/>
          <w:lang w:eastAsia="en-US"/>
        </w:rPr>
      </w:pPr>
    </w:p>
    <w:p w:rsidR="000E25DB" w:rsidRPr="00A94E44" w:rsidRDefault="000E25DB" w:rsidP="000E25DB">
      <w:pPr>
        <w:rPr>
          <w:rFonts w:eastAsia="Calibri"/>
          <w:b/>
          <w:lang w:eastAsia="en-US"/>
        </w:rPr>
      </w:pPr>
      <w:r w:rsidRPr="00A94E44">
        <w:rPr>
          <w:rFonts w:eastAsia="Calibri"/>
          <w:b/>
          <w:lang w:eastAsia="en-US"/>
        </w:rPr>
        <w:t>9.</w:t>
      </w:r>
      <w:r w:rsidRPr="00A94E44">
        <w:rPr>
          <w:rFonts w:eastAsia="Calibri"/>
          <w:b/>
          <w:lang w:eastAsia="en-US"/>
        </w:rPr>
        <w:tab/>
        <w:t>Realizacja operacji spowoduje utworzenie nowych miejsc pracy dla kobiet</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Punkty w ramach tego kryterium przyznawane będą w przypadku gdy wnioskodawca w wyniku realizacji operacji zatrudni nową osobę (osoby) i tą osobą (osobami) będzie kobieta (kobiety). Kryterium to jest związane ze strategią stowarzyszenia, która m.in. zmierza do zmniejszenia bezrobocia wśród kobiet. W chwili obecnej na terenie realizacji LSROR przez Stowarzyszenie DLGR, najbardziej dotknięte bezrobociem są właśnie kobiety. Bezrobocie wśród kobiet na terenie działania DLGR jest trwałe i strukturalne;</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w:t>
      </w:r>
      <w:r w:rsidRPr="00A94E44">
        <w:rPr>
          <w:rFonts w:eastAsia="Calibri"/>
          <w:i/>
          <w:lang w:eastAsia="en-US"/>
        </w:rPr>
        <w:tab/>
        <w:t>Zwiększenie zatrudnienia ustala się na podstawie punktu IV 1.1. Wniosku o dofinansowanie. Pod uwagę brane są wyłącznie osoby zatrudnione na podstawie umowy o pracę w przeliczeniu na pełen etat.</w:t>
      </w:r>
    </w:p>
    <w:p w:rsidR="000E25DB" w:rsidRPr="00A94E44" w:rsidRDefault="000E25DB" w:rsidP="000E25DB">
      <w:pPr>
        <w:spacing w:after="0" w:line="240" w:lineRule="auto"/>
        <w:jc w:val="both"/>
        <w:rPr>
          <w:rFonts w:eastAsia="Calibri"/>
          <w:i/>
          <w:lang w:eastAsia="en-US"/>
        </w:rPr>
      </w:pPr>
    </w:p>
    <w:p w:rsidR="000E25DB" w:rsidRDefault="000E25DB" w:rsidP="000E25DB">
      <w:pPr>
        <w:spacing w:after="0" w:line="240" w:lineRule="auto"/>
        <w:jc w:val="both"/>
        <w:rPr>
          <w:rFonts w:eastAsia="Calibri"/>
          <w:i/>
          <w:lang w:eastAsia="en-US"/>
        </w:rPr>
      </w:pPr>
    </w:p>
    <w:p w:rsidR="000E25DB" w:rsidRPr="00A94E44" w:rsidRDefault="000E25DB" w:rsidP="000E25DB">
      <w:pPr>
        <w:spacing w:after="0" w:line="240" w:lineRule="auto"/>
        <w:jc w:val="both"/>
        <w:rPr>
          <w:rFonts w:eastAsia="Calibri"/>
          <w:i/>
          <w:lang w:eastAsia="en-US"/>
        </w:rPr>
      </w:pPr>
    </w:p>
    <w:p w:rsidR="000E25DB" w:rsidRPr="00A94E44" w:rsidRDefault="000E25DB" w:rsidP="000E25DB">
      <w:pPr>
        <w:contextualSpacing/>
        <w:rPr>
          <w:rFonts w:eastAsia="Calibri"/>
          <w:b/>
          <w:lang w:eastAsia="en-US"/>
        </w:rPr>
      </w:pPr>
      <w:r w:rsidRPr="00A94E44">
        <w:rPr>
          <w:rFonts w:eastAsia="Calibri"/>
          <w:b/>
          <w:lang w:eastAsia="en-US"/>
        </w:rPr>
        <w:lastRenderedPageBreak/>
        <w:t>10.</w:t>
      </w:r>
      <w:r w:rsidRPr="00A94E44">
        <w:rPr>
          <w:rFonts w:eastAsia="Calibri"/>
          <w:b/>
          <w:lang w:eastAsia="en-US"/>
        </w:rPr>
        <w:tab/>
        <w:t>Operacja ma charakter innowacyjny</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br/>
        <w:t xml:space="preserve">Innowacyjność operacji. Innowacyjność może być cechą każdej operacji bez względu na obszar wsparcia. Oceniane będzie nowatorstwo zamierzonego działania (operacji) na obszarze jego oddziaływania w odniesieniu do innowacji organizacyjnej, produktowej, procesowej lub marketingowej. Punktowanie projektów innowacyjnych oznacza docenienie pomysłowości wnioskodawców. Wnioskodawca chcąc liczyć na uzyskanie punktów w tym kryterium będzie musiał wykazać innowacyjność projektu. </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w:t>
      </w:r>
      <w:r w:rsidRPr="00A94E44">
        <w:rPr>
          <w:rFonts w:eastAsia="Calibri"/>
          <w:i/>
          <w:lang w:eastAsia="en-US"/>
        </w:rPr>
        <w:tab/>
        <w:t>Kryterium jest typowo jakościowe, możliwe do weryfikacji na podstawie treści wniosku, wiedzy i doświadczenia Członków Komitetu, pozwala na przyznanie dodatkowych punktów;</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w:t>
      </w:r>
      <w:r w:rsidRPr="00A94E44">
        <w:rPr>
          <w:rFonts w:eastAsia="Calibri"/>
          <w:i/>
          <w:lang w:eastAsia="en-US"/>
        </w:rPr>
        <w:tab/>
        <w:t>Kryterium przewiduje wybór innowacyjnych operacji.</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Za operacje innowacyjne mogą być uznane poniższe przykładowe przedsięwzięcia:</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w:t>
      </w:r>
      <w:r w:rsidRPr="00A94E44">
        <w:rPr>
          <w:rFonts w:eastAsia="Calibri"/>
          <w:i/>
          <w:lang w:eastAsia="en-US"/>
        </w:rPr>
        <w:tab/>
        <w:t>wytworzenie nowej usługi lub produktu w skali obszaru objętego LSROR,</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w:t>
      </w:r>
      <w:r w:rsidRPr="00A94E44">
        <w:rPr>
          <w:rFonts w:eastAsia="Calibri"/>
          <w:i/>
          <w:lang w:eastAsia="en-US"/>
        </w:rPr>
        <w:tab/>
        <w:t>nadanie nowych funkcji terenom lub obiektom, które dzięki będą temu służyć rozwojowi, społecznemu bądź gospodarczemu na obszarze objętym LSROR,</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w:t>
      </w:r>
      <w:r w:rsidRPr="00A94E44">
        <w:rPr>
          <w:rFonts w:eastAsia="Calibri"/>
          <w:i/>
          <w:lang w:eastAsia="en-US"/>
        </w:rPr>
        <w:tab/>
        <w:t>nowatorskie, wcześniej niestosowane wykorzystanie lokalnych zasobów i surowców na obszarze objętym LSROR,</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w:t>
      </w:r>
      <w:r w:rsidRPr="00A94E44">
        <w:rPr>
          <w:rFonts w:eastAsia="Calibri"/>
          <w:i/>
          <w:lang w:eastAsia="en-US"/>
        </w:rPr>
        <w:tab/>
        <w:t>wprowadzenie nowoczesnych w skali obszaru objętego LSROR rozwiązań technicznych i technologicznych,</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w:t>
      </w:r>
      <w:r w:rsidRPr="00A94E44">
        <w:rPr>
          <w:rFonts w:eastAsia="Calibri"/>
          <w:i/>
          <w:lang w:eastAsia="en-US"/>
        </w:rPr>
        <w:tab/>
        <w:t>nowy sposób zaangażowania lokalnej społeczności w proces rozwoju lub aktywizacji nowych, grup i środowisk lokalnych, na obszarze objętym LSROR.</w:t>
      </w:r>
    </w:p>
    <w:p w:rsidR="000E25DB" w:rsidRPr="00A94E44" w:rsidRDefault="000E25DB" w:rsidP="000E25DB">
      <w:pPr>
        <w:spacing w:after="0" w:line="240" w:lineRule="auto"/>
        <w:jc w:val="both"/>
        <w:rPr>
          <w:rFonts w:eastAsia="Calibri"/>
          <w:i/>
          <w:lang w:eastAsia="en-US"/>
        </w:rPr>
      </w:pPr>
    </w:p>
    <w:p w:rsidR="000E25DB" w:rsidRPr="00A94E44" w:rsidRDefault="000E25DB" w:rsidP="000E25DB">
      <w:pPr>
        <w:spacing w:after="0" w:line="240" w:lineRule="auto"/>
        <w:jc w:val="both"/>
        <w:rPr>
          <w:rFonts w:eastAsia="Calibri"/>
          <w:i/>
          <w:lang w:eastAsia="en-US"/>
        </w:rPr>
      </w:pPr>
    </w:p>
    <w:p w:rsidR="000E25DB" w:rsidRPr="00A94E44" w:rsidRDefault="000E25DB" w:rsidP="000E25DB">
      <w:pPr>
        <w:rPr>
          <w:rFonts w:eastAsia="Calibri"/>
          <w:b/>
          <w:lang w:eastAsia="en-US"/>
        </w:rPr>
      </w:pPr>
      <w:r w:rsidRPr="00A94E44">
        <w:rPr>
          <w:rFonts w:eastAsia="Calibri"/>
          <w:b/>
          <w:lang w:eastAsia="en-US"/>
        </w:rPr>
        <w:t>11.</w:t>
      </w:r>
      <w:r w:rsidRPr="00A94E44">
        <w:rPr>
          <w:rFonts w:eastAsia="Calibri"/>
          <w:b/>
          <w:lang w:eastAsia="en-US"/>
        </w:rPr>
        <w:tab/>
        <w:t>Wnioskodawca posiada udokumentowane doświadczenie w sektorze rybackim</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 xml:space="preserve">Kryterium to premiuje wnioskodawców z doświadczeniem w szeroko rozumianym( a więc osoby które w chwili złożenia wniosku są pracownikami sektora rybackiego jak i osoby które w przeszłości pracowały w sektorze rybackim) sektorze rybackim. Obszarze realizacji LSROR przez Stowarzyszenie DLGR, historycznie związany jest sektorem rybackim. Wielu jego  mieszkańców pracuje, albo pracowało (lub pracuje) bezpośrednio w połowach ryb, hodowli ryb, ale również w przetwórstwie ryb, w sprzedaży produktów rybnych. W chwili obecnej omawiany sektor gospodarczy zanika. Osoby związane z sektorem rybackim (lub które były z nim związane) w chwili obecnej często mają kłopoty z zatrudnieniem. Kryterium to ma pomóc w dostępie do środków takim podmiotom. </w:t>
      </w:r>
    </w:p>
    <w:p w:rsidR="000E25DB" w:rsidRPr="00A94E44" w:rsidRDefault="000E25DB" w:rsidP="000E25DB">
      <w:pPr>
        <w:numPr>
          <w:ilvl w:val="0"/>
          <w:numId w:val="2"/>
        </w:numPr>
        <w:spacing w:after="0" w:line="240" w:lineRule="auto"/>
        <w:ind w:hanging="720"/>
        <w:contextualSpacing/>
        <w:jc w:val="both"/>
        <w:rPr>
          <w:rFonts w:eastAsia="Calibri"/>
          <w:i/>
          <w:lang w:eastAsia="en-US"/>
        </w:rPr>
      </w:pPr>
      <w:r w:rsidRPr="00A94E44">
        <w:rPr>
          <w:rFonts w:eastAsia="Calibri"/>
          <w:i/>
          <w:lang w:eastAsia="en-US"/>
        </w:rPr>
        <w:t>Punkty zostaną przyznane osobą, które najpóźniej do dnia zakończenia naboru przedstawiły dokumenty potwierdzające posiadane przez wnioskodawcę doświadczenie w sektorze rybackim. Nie jest wymagane, aby wnioskodawca na dzień składania wniosku był nadal związany z tym sektorem. Nie załączenie przez Wnioskodawcę odpowiednich dokumentów potwierdzających swoje doświadczenie w sektorze skutkowało będzie nie przyznaniem punktów.</w:t>
      </w:r>
    </w:p>
    <w:p w:rsidR="000E25DB" w:rsidRPr="00A94E44" w:rsidRDefault="000E25DB" w:rsidP="000E25DB">
      <w:pPr>
        <w:rPr>
          <w:rFonts w:eastAsia="Calibri"/>
          <w:lang w:eastAsia="en-US"/>
        </w:rPr>
      </w:pPr>
    </w:p>
    <w:p w:rsidR="000E25DB" w:rsidRPr="00A94E44" w:rsidRDefault="000E25DB" w:rsidP="000E25DB">
      <w:pPr>
        <w:rPr>
          <w:rFonts w:eastAsia="Calibri"/>
          <w:b/>
          <w:lang w:eastAsia="en-US"/>
        </w:rPr>
      </w:pPr>
      <w:r w:rsidRPr="00A94E44">
        <w:rPr>
          <w:rFonts w:eastAsia="Calibri"/>
          <w:b/>
          <w:lang w:eastAsia="en-US"/>
        </w:rPr>
        <w:t>12.</w:t>
      </w:r>
      <w:r w:rsidRPr="00A94E44">
        <w:rPr>
          <w:rFonts w:eastAsia="Calibri"/>
          <w:b/>
          <w:lang w:eastAsia="en-US"/>
        </w:rPr>
        <w:tab/>
        <w:t>Operacja wpływa korzystnie na stan środowiska naturalnego</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Powyższe kryterium ma premiować realizację operacji szeroko rozumianych jako proekologiczne. Kryterium te ma wpływać na pożądane przez Stowarzyszenie DLGR kierunki realizacji LSROR oraz zawarte w niej cele: Ochrona miejscowych zasobów wodnych, pełne wykorzystanie zasobów miejscowych przy zachowaniu atrakcyjności przyrodniczej.</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w:t>
      </w:r>
      <w:r w:rsidRPr="00A94E44">
        <w:rPr>
          <w:rFonts w:eastAsia="Calibri"/>
          <w:i/>
          <w:lang w:eastAsia="en-US"/>
        </w:rPr>
        <w:tab/>
        <w:t>Kryterium jest typowo jakościowe, możliwe do weryfikacji na podstawie treści wniosku, wiedzy i doświadczenia Członków Komitetu, pozwala na przyznanie dodatkowych punktów;</w:t>
      </w:r>
      <w:r w:rsidRPr="00A94E44">
        <w:rPr>
          <w:rFonts w:eastAsia="Calibri"/>
          <w:i/>
          <w:lang w:eastAsia="en-US"/>
        </w:rPr>
        <w:br/>
      </w:r>
    </w:p>
    <w:p w:rsidR="000E25DB" w:rsidRPr="00A94E44" w:rsidRDefault="000E25DB" w:rsidP="000E25DB">
      <w:pPr>
        <w:spacing w:after="0" w:line="240" w:lineRule="auto"/>
        <w:ind w:firstLine="708"/>
        <w:jc w:val="both"/>
        <w:rPr>
          <w:rFonts w:eastAsia="Calibri"/>
          <w:i/>
          <w:lang w:eastAsia="en-US"/>
        </w:rPr>
      </w:pPr>
      <w:r w:rsidRPr="00A94E44">
        <w:rPr>
          <w:rFonts w:eastAsia="Calibri"/>
          <w:i/>
          <w:lang w:eastAsia="en-US"/>
        </w:rPr>
        <w:t xml:space="preserve">Poprzez stwierdzenie bezpośredni wpływ na środowisko należy rozumieć działania w wyniku których następuje jednoznaczna poprawa stanu środowiska naturalnego w wyniku realizacji operacji </w:t>
      </w:r>
      <w:r w:rsidRPr="00A94E44">
        <w:rPr>
          <w:rFonts w:eastAsia="Calibri"/>
          <w:i/>
          <w:lang w:eastAsia="en-US"/>
        </w:rPr>
        <w:lastRenderedPageBreak/>
        <w:t xml:space="preserve">lub jej niektórych elementów np. zastosowanie oczyszczalni ścieków lub zastosowanie separatorów </w:t>
      </w:r>
      <w:proofErr w:type="spellStart"/>
      <w:r w:rsidRPr="00A94E44">
        <w:rPr>
          <w:rFonts w:eastAsia="Calibri"/>
          <w:i/>
          <w:lang w:eastAsia="en-US"/>
        </w:rPr>
        <w:t>lamelowych</w:t>
      </w:r>
      <w:proofErr w:type="spellEnd"/>
      <w:r w:rsidRPr="00A94E44">
        <w:rPr>
          <w:rFonts w:eastAsia="Calibri"/>
          <w:i/>
          <w:lang w:eastAsia="en-US"/>
        </w:rPr>
        <w:t xml:space="preserve"> przy drogach w ramach ocenianej operacji</w:t>
      </w:r>
    </w:p>
    <w:p w:rsidR="000E25DB" w:rsidRPr="00A94E44" w:rsidRDefault="000E25DB" w:rsidP="000E25DB">
      <w:pPr>
        <w:spacing w:after="0" w:line="240" w:lineRule="auto"/>
        <w:ind w:firstLine="708"/>
        <w:jc w:val="both"/>
        <w:rPr>
          <w:rFonts w:eastAsia="Calibri"/>
          <w:i/>
          <w:lang w:eastAsia="en-US"/>
        </w:rPr>
      </w:pPr>
    </w:p>
    <w:p w:rsidR="000E25DB" w:rsidRPr="00A94E44" w:rsidRDefault="000E25DB" w:rsidP="000E25DB">
      <w:pPr>
        <w:spacing w:after="0" w:line="240" w:lineRule="auto"/>
        <w:ind w:firstLine="708"/>
        <w:jc w:val="both"/>
        <w:rPr>
          <w:rFonts w:eastAsia="Calibri"/>
          <w:i/>
          <w:lang w:eastAsia="en-US"/>
        </w:rPr>
      </w:pPr>
      <w:r w:rsidRPr="00A94E44">
        <w:rPr>
          <w:rFonts w:eastAsia="Calibri"/>
          <w:i/>
          <w:lang w:eastAsia="en-US"/>
        </w:rPr>
        <w:t>Poprzez stwierdzenie pośredni wpływ na środowisko naturalne należy rozumieć  inwestycje, które dążą do zminimalizowania negatywnego wpływu na środowisko naturalne, np. montaż instalacji solarnej lub pomp ciepła, które ograniczą zużycie energii elektrycznej w ramach ocenianej operacji.</w:t>
      </w:r>
    </w:p>
    <w:p w:rsidR="000E25DB" w:rsidRPr="00A94E44" w:rsidRDefault="000E25DB" w:rsidP="000E25DB">
      <w:pPr>
        <w:spacing w:after="0" w:line="240" w:lineRule="auto"/>
        <w:ind w:firstLine="708"/>
        <w:jc w:val="both"/>
        <w:rPr>
          <w:rFonts w:eastAsia="Calibri"/>
          <w:i/>
          <w:lang w:eastAsia="en-US"/>
        </w:rPr>
      </w:pPr>
    </w:p>
    <w:p w:rsidR="000E25DB" w:rsidRPr="00A94E44" w:rsidRDefault="000E25DB" w:rsidP="000E25DB">
      <w:pPr>
        <w:rPr>
          <w:rFonts w:eastAsia="Calibri"/>
          <w:i/>
          <w:lang w:eastAsia="en-US"/>
        </w:rPr>
      </w:pPr>
    </w:p>
    <w:p w:rsidR="000E25DB" w:rsidRPr="00A94E44" w:rsidRDefault="000E25DB" w:rsidP="000E25DB">
      <w:pPr>
        <w:spacing w:after="0" w:line="240" w:lineRule="auto"/>
        <w:jc w:val="both"/>
        <w:rPr>
          <w:rFonts w:eastAsia="Calibri"/>
          <w:b/>
          <w:lang w:eastAsia="en-US"/>
        </w:rPr>
      </w:pPr>
      <w:r w:rsidRPr="00A94E44">
        <w:rPr>
          <w:rFonts w:eastAsia="Calibri"/>
          <w:b/>
          <w:lang w:eastAsia="en-US"/>
        </w:rPr>
        <w:t>13.</w:t>
      </w:r>
      <w:r w:rsidRPr="00A94E44">
        <w:rPr>
          <w:rFonts w:eastAsia="Calibri"/>
          <w:b/>
          <w:lang w:eastAsia="en-US"/>
        </w:rPr>
        <w:tab/>
      </w:r>
      <w:r w:rsidRPr="00A94E44">
        <w:rPr>
          <w:b/>
          <w:lang w:eastAsia="ar-SA"/>
        </w:rPr>
        <w:t>Czy wnioskodawca złożył wcześniej wniosek, który został pozytywnie zaopiniowany przez Komitet?</w:t>
      </w:r>
    </w:p>
    <w:p w:rsidR="000E25DB" w:rsidRPr="00A94E44" w:rsidRDefault="000E25DB" w:rsidP="000E25DB">
      <w:pPr>
        <w:spacing w:after="0" w:line="240" w:lineRule="auto"/>
        <w:jc w:val="both"/>
        <w:rPr>
          <w:rFonts w:eastAsia="Calibri"/>
          <w:b/>
          <w:lang w:eastAsia="en-US"/>
        </w:rPr>
      </w:pPr>
    </w:p>
    <w:p w:rsidR="000E25DB" w:rsidRPr="00A94E44" w:rsidRDefault="000E25DB" w:rsidP="000E25DB">
      <w:pPr>
        <w:spacing w:after="0" w:line="240" w:lineRule="auto"/>
        <w:contextualSpacing/>
        <w:jc w:val="both"/>
        <w:rPr>
          <w:rFonts w:eastAsia="Calibri" w:cs="Calibri"/>
          <w:i/>
          <w:lang w:eastAsia="en-US"/>
        </w:rPr>
      </w:pPr>
      <w:r w:rsidRPr="00A94E44">
        <w:rPr>
          <w:rFonts w:eastAsia="Calibri" w:cs="Calibri"/>
          <w:i/>
          <w:lang w:eastAsia="en-US"/>
        </w:rPr>
        <w:t xml:space="preserve">Punkty przyznaje się  w zależności od liczby wniosków o dofinansowanie złożonych przez danego wnioskodawcę wcześniej - w ramach wszystkich konkursów w DLGR - które zostały wybrane do dofinansowania przez Komitet DLGR i pierwotnie zmieściły się w limicie środków, lub pierwotnie nie zmieściły się w limicie, ale mieszczą się w limicie na dzień oceny, ze względu na „oszczędności” w wyniku rozpatrywania przez urząd marszałkowski wniosków znajdujących się wyżej na liście rankingowej. Nie bierze się pod uwagę wniosków, złożonych przez danego wnioskodawcę, w ramach konkursów, w których nie zakończyła się jeszcze procedura oceny przez Komitet (wraz z rozpatrzeniem </w:t>
      </w:r>
      <w:proofErr w:type="spellStart"/>
      <w:r w:rsidRPr="00A94E44">
        <w:rPr>
          <w:rFonts w:eastAsia="Calibri" w:cs="Calibri"/>
          <w:i/>
          <w:lang w:eastAsia="en-US"/>
        </w:rPr>
        <w:t>odwołań</w:t>
      </w:r>
      <w:proofErr w:type="spellEnd"/>
      <w:r w:rsidRPr="00A94E44">
        <w:rPr>
          <w:rFonts w:eastAsia="Calibri" w:cs="Calibri"/>
          <w:i/>
          <w:lang w:eastAsia="en-US"/>
        </w:rPr>
        <w:t xml:space="preserve">). </w:t>
      </w:r>
    </w:p>
    <w:p w:rsidR="000E25DB" w:rsidRPr="00A94E44" w:rsidRDefault="000E25DB" w:rsidP="000E25DB">
      <w:pPr>
        <w:numPr>
          <w:ilvl w:val="0"/>
          <w:numId w:val="1"/>
        </w:numPr>
        <w:spacing w:after="0" w:line="240" w:lineRule="auto"/>
        <w:contextualSpacing/>
        <w:jc w:val="both"/>
        <w:rPr>
          <w:rFonts w:eastAsia="Calibri" w:cs="Calibri"/>
          <w:i/>
          <w:lang w:eastAsia="en-US"/>
        </w:rPr>
      </w:pPr>
      <w:r w:rsidRPr="00A94E44">
        <w:rPr>
          <w:rFonts w:eastAsia="Calibri" w:cs="Calibri"/>
          <w:i/>
          <w:lang w:eastAsia="en-US"/>
        </w:rPr>
        <w:t>Kryterium jest możliwe do weryfikacji na podstawie dokumentów własnych DLGR – pozwala na przyznanie jednoznacznej liczby punktów.</w:t>
      </w:r>
    </w:p>
    <w:p w:rsidR="000E25DB" w:rsidRPr="00A94E44" w:rsidRDefault="000E25DB" w:rsidP="000E25DB">
      <w:pPr>
        <w:spacing w:after="0" w:line="240" w:lineRule="auto"/>
        <w:ind w:left="1440"/>
        <w:contextualSpacing/>
        <w:jc w:val="both"/>
        <w:rPr>
          <w:rFonts w:eastAsia="Calibri" w:cs="Calibri"/>
          <w:i/>
          <w:lang w:eastAsia="en-US"/>
        </w:rPr>
      </w:pPr>
    </w:p>
    <w:p w:rsidR="000E25DB" w:rsidRPr="00A94E44" w:rsidRDefault="000E25DB" w:rsidP="000E25DB">
      <w:pPr>
        <w:spacing w:after="0" w:line="240" w:lineRule="auto"/>
        <w:jc w:val="both"/>
        <w:rPr>
          <w:rFonts w:eastAsia="Calibri"/>
          <w:i/>
          <w:lang w:eastAsia="en-US"/>
        </w:rPr>
      </w:pPr>
    </w:p>
    <w:p w:rsidR="000E25DB" w:rsidRPr="00A94E44" w:rsidRDefault="000E25DB" w:rsidP="000E25DB">
      <w:pPr>
        <w:rPr>
          <w:rFonts w:eastAsia="Calibri"/>
          <w:b/>
          <w:lang w:eastAsia="en-US"/>
        </w:rPr>
      </w:pPr>
      <w:r w:rsidRPr="00A94E44">
        <w:rPr>
          <w:rFonts w:eastAsia="Calibri"/>
          <w:b/>
          <w:lang w:eastAsia="en-US"/>
        </w:rPr>
        <w:t>14.</w:t>
      </w:r>
      <w:r w:rsidRPr="00A94E44">
        <w:rPr>
          <w:rFonts w:eastAsia="Calibri"/>
          <w:b/>
          <w:lang w:eastAsia="en-US"/>
        </w:rPr>
        <w:tab/>
        <w:t>Wysokość wkładu własnego wyższa do minimum</w:t>
      </w:r>
    </w:p>
    <w:p w:rsidR="000E25DB" w:rsidRPr="00A94E44" w:rsidRDefault="000E25DB" w:rsidP="000E25DB">
      <w:pPr>
        <w:spacing w:after="0" w:line="240" w:lineRule="auto"/>
        <w:jc w:val="both"/>
        <w:rPr>
          <w:rFonts w:eastAsia="Calibri"/>
          <w:i/>
          <w:lang w:eastAsia="en-US"/>
        </w:rPr>
      </w:pPr>
      <w:r w:rsidRPr="00A94E44">
        <w:rPr>
          <w:rFonts w:eastAsia="Calibri"/>
          <w:i/>
          <w:lang w:eastAsia="en-US"/>
        </w:rPr>
        <w:t>Oceniany będzie poziom wkładu własnego – preferowane będą projekty o większym od minimalnego wkładzie własnym. Wnioskodawca będzie mógł zapewnić sobie większą liczbę punktów zwiększając poziom wkładu własnego. Z zachęty tej skorzystają wnioskodawcy, którzy stwierdzą, że mogą nie uzyskać wystarczającej liczby punktów do uzyskania dofinansowania. Zachęta do ograniczania poziomu dofinansowania przełoży się na większą liczbę ogólną zrealizowanych projektów.</w:t>
      </w:r>
    </w:p>
    <w:p w:rsidR="000E25DB" w:rsidRPr="00A94E44" w:rsidRDefault="000E25DB" w:rsidP="000E25DB">
      <w:pPr>
        <w:jc w:val="both"/>
        <w:rPr>
          <w:rFonts w:eastAsia="Calibri"/>
          <w:lang w:eastAsia="en-US"/>
        </w:rPr>
      </w:pPr>
      <w:r w:rsidRPr="00A94E44">
        <w:rPr>
          <w:rFonts w:eastAsia="Calibri"/>
          <w:lang w:eastAsia="en-US"/>
        </w:rPr>
        <w:t>•</w:t>
      </w:r>
      <w:r w:rsidRPr="00A94E44">
        <w:rPr>
          <w:rFonts w:eastAsia="Calibri"/>
          <w:lang w:eastAsia="en-US"/>
        </w:rPr>
        <w:tab/>
      </w:r>
      <w:r w:rsidRPr="00A94E44">
        <w:rPr>
          <w:rFonts w:eastAsia="Calibri"/>
          <w:i/>
          <w:lang w:eastAsia="en-US"/>
        </w:rPr>
        <w:t>Kryterium jest ilościowe, wpływa na zwiększenie ilości realizowanych operacji, jest mierzalne i możliwe do weryfikacji na podstawie treści wniosku. Punkty przyznaje się na podstawie udziału procentowego wkładu własnego beneficjenta w całkowitych kosztach kwalifikowanych operacji.</w:t>
      </w:r>
    </w:p>
    <w:p w:rsidR="000E25DB" w:rsidRPr="00A94E44" w:rsidRDefault="000E25DB" w:rsidP="000E25DB">
      <w:pPr>
        <w:rPr>
          <w:b/>
        </w:rPr>
      </w:pPr>
    </w:p>
    <w:p w:rsidR="00AB18E9" w:rsidRDefault="00AB18E9"/>
    <w:sectPr w:rsidR="00AB18E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5AC" w:rsidRDefault="001B55AC" w:rsidP="00204595">
      <w:pPr>
        <w:spacing w:after="0" w:line="240" w:lineRule="auto"/>
      </w:pPr>
      <w:r>
        <w:separator/>
      </w:r>
    </w:p>
  </w:endnote>
  <w:endnote w:type="continuationSeparator" w:id="0">
    <w:p w:rsidR="001B55AC" w:rsidRDefault="001B55AC" w:rsidP="0020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5AC" w:rsidRDefault="001B55AC" w:rsidP="00204595">
      <w:pPr>
        <w:spacing w:after="0" w:line="240" w:lineRule="auto"/>
      </w:pPr>
      <w:r>
        <w:separator/>
      </w:r>
    </w:p>
  </w:footnote>
  <w:footnote w:type="continuationSeparator" w:id="0">
    <w:p w:rsidR="001B55AC" w:rsidRDefault="001B55AC" w:rsidP="00204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95" w:rsidRDefault="00204595" w:rsidP="00204595">
    <w:pPr>
      <w:pStyle w:val="Nagwek"/>
      <w:jc w:val="center"/>
    </w:pPr>
    <w:r>
      <w:t>Kryteria oceny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D3F4A"/>
    <w:multiLevelType w:val="hybridMultilevel"/>
    <w:tmpl w:val="78E214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32762010"/>
    <w:multiLevelType w:val="hybridMultilevel"/>
    <w:tmpl w:val="6D56E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48"/>
    <w:rsid w:val="000E25DB"/>
    <w:rsid w:val="001B55AC"/>
    <w:rsid w:val="00204595"/>
    <w:rsid w:val="003B1148"/>
    <w:rsid w:val="00AB18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25DB"/>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045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595"/>
    <w:rPr>
      <w:rFonts w:ascii="Calibri" w:eastAsia="Times New Roman" w:hAnsi="Calibri" w:cs="Times New Roman"/>
      <w:lang w:eastAsia="pl-PL"/>
    </w:rPr>
  </w:style>
  <w:style w:type="paragraph" w:styleId="Stopka">
    <w:name w:val="footer"/>
    <w:basedOn w:val="Normalny"/>
    <w:link w:val="StopkaZnak"/>
    <w:uiPriority w:val="99"/>
    <w:unhideWhenUsed/>
    <w:rsid w:val="002045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595"/>
    <w:rPr>
      <w:rFonts w:ascii="Calibri" w:eastAsia="Times New Roman"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25DB"/>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045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595"/>
    <w:rPr>
      <w:rFonts w:ascii="Calibri" w:eastAsia="Times New Roman" w:hAnsi="Calibri" w:cs="Times New Roman"/>
      <w:lang w:eastAsia="pl-PL"/>
    </w:rPr>
  </w:style>
  <w:style w:type="paragraph" w:styleId="Stopka">
    <w:name w:val="footer"/>
    <w:basedOn w:val="Normalny"/>
    <w:link w:val="StopkaZnak"/>
    <w:uiPriority w:val="99"/>
    <w:unhideWhenUsed/>
    <w:rsid w:val="002045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595"/>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1847</Words>
  <Characters>11082</Characters>
  <Application>Microsoft Office Word</Application>
  <DocSecurity>0</DocSecurity>
  <Lines>92</Lines>
  <Paragraphs>25</Paragraphs>
  <ScaleCrop>false</ScaleCrop>
  <Company>Microsoft</Company>
  <LinksUpToDate>false</LinksUpToDate>
  <CharactersWithSpaces>12904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Nowy</dc:creator>
  <cp:keywords/>
  <dc:description/>
  <cp:lastModifiedBy>Nowy</cp:lastModifiedBy>
  <cp:revision>4</cp:revision>
  <dcterms:created xsi:type="dcterms:W3CDTF">2013-11-25T10:15:00Z</dcterms:created>
  <dcterms:modified xsi:type="dcterms:W3CDTF">2013-11-25T10:21:00Z</dcterms:modified>
</cp:coreProperties>
</file>